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909" w:rsidRPr="00077E9E" w:rsidRDefault="00BE4909" w:rsidP="00BE4909">
      <w:pPr>
        <w:pStyle w:val="NoSpacing"/>
        <w:rPr>
          <w:b/>
          <w:sz w:val="40"/>
          <w:szCs w:val="40"/>
        </w:rPr>
      </w:pPr>
      <w:r w:rsidRPr="00077E9E">
        <w:rPr>
          <w:b/>
          <w:sz w:val="40"/>
          <w:szCs w:val="40"/>
        </w:rPr>
        <w:t>The Enrollment Cliff, Mega-Universities, COVID-19, and the Changing Landscape of U.S. Colleges</w:t>
      </w:r>
    </w:p>
    <w:p w:rsidR="00077E9E" w:rsidRDefault="00077E9E" w:rsidP="00BE4909">
      <w:pPr>
        <w:pStyle w:val="NoSpacing"/>
        <w:rPr>
          <w:b/>
        </w:rPr>
      </w:pPr>
    </w:p>
    <w:p w:rsidR="00077E9E" w:rsidRDefault="00077E9E" w:rsidP="00BE4909">
      <w:pPr>
        <w:pStyle w:val="NoSpacing"/>
      </w:pPr>
      <w:hyperlink r:id="rId5" w:history="1">
        <w:r w:rsidRPr="000F3766">
          <w:rPr>
            <w:rStyle w:val="Hyperlink"/>
          </w:rPr>
          <w:t>https://www.cpajournal.com/2020/11/13/icymi-the-enrollment-cliff-mega-universities-covid-19-and-the-changing-landscape-of-u-s-colleges/</w:t>
        </w:r>
      </w:hyperlink>
    </w:p>
    <w:p w:rsidR="00077E9E" w:rsidRDefault="00077E9E" w:rsidP="00BE4909">
      <w:pPr>
        <w:pStyle w:val="NoSpacing"/>
      </w:pPr>
    </w:p>
    <w:p w:rsidR="00077E9E" w:rsidRPr="00B62460" w:rsidRDefault="00077E9E" w:rsidP="00077E9E">
      <w:pPr>
        <w:pStyle w:val="NoSpacing"/>
        <w:rPr>
          <w:rFonts w:cstheme="minorHAnsi"/>
        </w:rPr>
      </w:pPr>
      <w:bookmarkStart w:id="0" w:name="_GoBack"/>
      <w:r w:rsidRPr="00B62460">
        <w:rPr>
          <w:rFonts w:cstheme="minorHAnsi"/>
        </w:rPr>
        <w:t>By  </w:t>
      </w:r>
      <w:hyperlink r:id="rId6" w:tooltip="Posts by Paul Copley, PhD, CPA" w:history="1">
        <w:r w:rsidRPr="00B62460">
          <w:rPr>
            <w:rStyle w:val="Hyperlink"/>
            <w:rFonts w:cstheme="minorHAnsi"/>
            <w:b/>
            <w:bCs/>
            <w:color w:val="333333"/>
          </w:rPr>
          <w:t>Paul Copley, PhD, CPA</w:t>
        </w:r>
      </w:hyperlink>
      <w:r w:rsidRPr="00B62460">
        <w:rPr>
          <w:rFonts w:cstheme="minorHAnsi"/>
        </w:rPr>
        <w:t> and </w:t>
      </w:r>
      <w:hyperlink r:id="rId7" w:tooltip="Posts by Edward Douthett, PhD, CPA" w:history="1">
        <w:r w:rsidRPr="00B62460">
          <w:rPr>
            <w:rStyle w:val="Hyperlink"/>
            <w:rFonts w:cstheme="minorHAnsi"/>
            <w:b/>
            <w:bCs/>
            <w:color w:val="333333"/>
          </w:rPr>
          <w:t>Edward Douthett, PhD, CPA</w:t>
        </w:r>
      </w:hyperlink>
    </w:p>
    <w:p w:rsidR="00077E9E" w:rsidRPr="00B62460" w:rsidRDefault="00077E9E" w:rsidP="00077E9E">
      <w:pPr>
        <w:pStyle w:val="NoSpacing"/>
        <w:rPr>
          <w:rFonts w:cstheme="minorHAnsi"/>
          <w:color w:val="9A9A9A"/>
        </w:rPr>
      </w:pPr>
      <w:hyperlink r:id="rId8" w:history="1">
        <w:r w:rsidRPr="00B62460">
          <w:rPr>
            <w:rStyle w:val="Hyperlink"/>
            <w:rFonts w:cstheme="minorHAnsi"/>
            <w:b/>
            <w:bCs/>
            <w:color w:val="9A9A9A"/>
          </w:rPr>
          <w:t>Featured</w:t>
        </w:r>
      </w:hyperlink>
      <w:r w:rsidRPr="00B62460">
        <w:rPr>
          <w:rFonts w:cstheme="minorHAnsi"/>
          <w:color w:val="9A9A9A"/>
        </w:rPr>
        <w:t>, </w:t>
      </w:r>
      <w:hyperlink r:id="rId9" w:history="1">
        <w:r w:rsidRPr="00B62460">
          <w:rPr>
            <w:rStyle w:val="Hyperlink"/>
            <w:rFonts w:cstheme="minorHAnsi"/>
            <w:b/>
            <w:bCs/>
            <w:color w:val="9A9A9A"/>
          </w:rPr>
          <w:t>COVID-19</w:t>
        </w:r>
      </w:hyperlink>
      <w:r w:rsidRPr="00B62460">
        <w:rPr>
          <w:rFonts w:cstheme="minorHAnsi"/>
          <w:color w:val="9A9A9A"/>
        </w:rPr>
        <w:t>, </w:t>
      </w:r>
      <w:hyperlink r:id="rId10" w:history="1">
        <w:r w:rsidRPr="00B62460">
          <w:rPr>
            <w:rStyle w:val="Hyperlink"/>
            <w:rFonts w:cstheme="minorHAnsi"/>
            <w:b/>
            <w:bCs/>
            <w:color w:val="9A9A9A"/>
          </w:rPr>
          <w:t>September 2020</w:t>
        </w:r>
      </w:hyperlink>
      <w:r w:rsidRPr="00B62460">
        <w:rPr>
          <w:rFonts w:cstheme="minorHAnsi"/>
          <w:color w:val="9A9A9A"/>
        </w:rPr>
        <w:t>, </w:t>
      </w:r>
      <w:hyperlink r:id="rId11" w:history="1">
        <w:r w:rsidRPr="00B62460">
          <w:rPr>
            <w:rStyle w:val="Hyperlink"/>
            <w:rFonts w:cstheme="minorHAnsi"/>
            <w:b/>
            <w:bCs/>
            <w:color w:val="9A9A9A"/>
          </w:rPr>
          <w:t>Analysis</w:t>
        </w:r>
      </w:hyperlink>
      <w:r w:rsidRPr="00B62460">
        <w:rPr>
          <w:rFonts w:cstheme="minorHAnsi"/>
          <w:color w:val="9A9A9A"/>
        </w:rPr>
        <w:t> </w:t>
      </w:r>
      <w:r w:rsidRPr="00B62460">
        <w:rPr>
          <w:rStyle w:val="sep"/>
          <w:rFonts w:cstheme="minorHAnsi"/>
          <w:color w:val="9A9A9A"/>
        </w:rPr>
        <w:t>|</w:t>
      </w:r>
      <w:r w:rsidRPr="00B62460">
        <w:rPr>
          <w:rFonts w:cstheme="minorHAnsi"/>
          <w:color w:val="9A9A9A"/>
        </w:rPr>
        <w:t>  </w:t>
      </w:r>
    </w:p>
    <w:p w:rsidR="00077E9E" w:rsidRPr="00B62460" w:rsidRDefault="00077E9E" w:rsidP="00077E9E">
      <w:pPr>
        <w:pStyle w:val="NoSpacing"/>
        <w:rPr>
          <w:rFonts w:cstheme="minorHAnsi"/>
          <w:color w:val="9A9A9A"/>
        </w:rPr>
      </w:pPr>
      <w:r w:rsidRPr="00B62460">
        <w:rPr>
          <w:rFonts w:cstheme="minorHAnsi"/>
          <w:color w:val="9A9A9A"/>
        </w:rPr>
        <w:t>November 2020</w:t>
      </w:r>
    </w:p>
    <w:p w:rsidR="00077E9E" w:rsidRPr="00B62460" w:rsidRDefault="00077E9E" w:rsidP="00077E9E">
      <w:pPr>
        <w:pStyle w:val="NormalWeb"/>
        <w:shd w:val="clear" w:color="auto" w:fill="FFFFFF"/>
        <w:spacing w:before="0" w:beforeAutospacing="0" w:after="0" w:afterAutospacing="0" w:line="330" w:lineRule="atLeast"/>
        <w:jc w:val="right"/>
        <w:rPr>
          <w:rFonts w:asciiTheme="minorHAnsi" w:hAnsiTheme="minorHAnsi" w:cstheme="minorHAnsi"/>
          <w:color w:val="333333"/>
          <w:sz w:val="22"/>
          <w:szCs w:val="22"/>
        </w:rPr>
      </w:pPr>
      <w:hyperlink r:id="rId12" w:tgtFrame="_blank" w:history="1">
        <w:r w:rsidRPr="00B62460">
          <w:rPr>
            <w:rStyle w:val="Hyperlink"/>
            <w:rFonts w:asciiTheme="minorHAnsi" w:hAnsiTheme="minorHAnsi" w:cstheme="minorHAnsi"/>
            <w:b/>
            <w:bCs/>
            <w:sz w:val="22"/>
            <w:szCs w:val="22"/>
          </w:rPr>
          <w:t> Get Copyright Permission</w:t>
        </w:r>
      </w:hyperlink>
    </w:p>
    <w:bookmarkEnd w:id="0"/>
    <w:p w:rsidR="00077E9E" w:rsidRDefault="00077E9E" w:rsidP="00077E9E">
      <w:pPr>
        <w:pStyle w:val="authors"/>
        <w:shd w:val="clear" w:color="auto" w:fill="FFFFFF"/>
        <w:spacing w:before="0" w:beforeAutospacing="0" w:after="360" w:afterAutospacing="0" w:line="330" w:lineRule="atLeast"/>
        <w:rPr>
          <w:rFonts w:ascii="Arial" w:hAnsi="Arial" w:cs="Arial"/>
          <w:color w:val="333333"/>
          <w:sz w:val="23"/>
          <w:szCs w:val="23"/>
        </w:rPr>
      </w:pPr>
      <w:r>
        <w:rPr>
          <w:rFonts w:ascii="Poppins" w:hAnsi="Poppins" w:cs="Arial"/>
          <w:b/>
          <w:bCs/>
          <w:caps/>
          <w:color w:val="333333"/>
          <w:sz w:val="39"/>
          <w:szCs w:val="39"/>
        </w:rPr>
        <w:t>IN BRIEF</w:t>
      </w:r>
    </w:p>
    <w:p w:rsidR="00077E9E" w:rsidRPr="00077E9E" w:rsidRDefault="00077E9E" w:rsidP="00077E9E">
      <w:pPr>
        <w:pStyle w:val="NormalWeb"/>
        <w:shd w:val="clear" w:color="auto" w:fill="FFFFFF"/>
        <w:spacing w:before="0" w:beforeAutospacing="0" w:after="360" w:afterAutospacing="0" w:line="330" w:lineRule="atLeast"/>
        <w:rPr>
          <w:rFonts w:asciiTheme="minorHAnsi" w:hAnsiTheme="minorHAnsi" w:cstheme="minorHAnsi"/>
          <w:color w:val="333333"/>
          <w:sz w:val="22"/>
          <w:szCs w:val="22"/>
        </w:rPr>
      </w:pPr>
      <w:r w:rsidRPr="00077E9E">
        <w:rPr>
          <w:rFonts w:asciiTheme="minorHAnsi" w:hAnsiTheme="minorHAnsi" w:cstheme="minorHAnsi"/>
          <w:color w:val="333333"/>
          <w:sz w:val="22"/>
          <w:szCs w:val="22"/>
        </w:rPr>
        <w:t>The accounting academic and practitioner communities are closely intertwined, making the developments in one discipline of paramount importance to the other. As such, all CPAs should be aware of the current environmental factors facing U.S. higher education. Three in particular–the enrollment cliff, mega-universities, and COVID-19–have the potential to reshape the landscape of accounting education for years to come.</w:t>
      </w:r>
    </w:p>
    <w:p w:rsidR="00077E9E" w:rsidRPr="00077E9E" w:rsidRDefault="00077E9E" w:rsidP="00077E9E">
      <w:pPr>
        <w:pStyle w:val="NormalWeb"/>
        <w:shd w:val="clear" w:color="auto" w:fill="FFFFFF"/>
        <w:spacing w:before="0" w:beforeAutospacing="0" w:after="360" w:afterAutospacing="0" w:line="330" w:lineRule="atLeast"/>
        <w:rPr>
          <w:rFonts w:asciiTheme="minorHAnsi" w:hAnsiTheme="minorHAnsi" w:cstheme="minorHAnsi"/>
          <w:color w:val="333333"/>
          <w:sz w:val="22"/>
          <w:szCs w:val="22"/>
        </w:rPr>
      </w:pPr>
      <w:r w:rsidRPr="00077E9E">
        <w:rPr>
          <w:rFonts w:asciiTheme="minorHAnsi" w:hAnsiTheme="minorHAnsi" w:cstheme="minorHAnsi"/>
          <w:color w:val="333333"/>
          <w:sz w:val="22"/>
          <w:szCs w:val="22"/>
        </w:rPr>
        <w:t>***</w:t>
      </w:r>
    </w:p>
    <w:p w:rsidR="00077E9E" w:rsidRPr="00077E9E" w:rsidRDefault="00077E9E" w:rsidP="00077E9E">
      <w:pPr>
        <w:pStyle w:val="NormalWeb"/>
        <w:shd w:val="clear" w:color="auto" w:fill="FFFFFF"/>
        <w:spacing w:before="0" w:beforeAutospacing="0" w:after="360" w:afterAutospacing="0" w:line="330" w:lineRule="atLeast"/>
        <w:rPr>
          <w:rFonts w:asciiTheme="minorHAnsi" w:hAnsiTheme="minorHAnsi" w:cstheme="minorHAnsi"/>
          <w:color w:val="333333"/>
          <w:sz w:val="22"/>
          <w:szCs w:val="22"/>
        </w:rPr>
      </w:pPr>
      <w:r w:rsidRPr="00077E9E">
        <w:rPr>
          <w:rFonts w:asciiTheme="minorHAnsi" w:hAnsiTheme="minorHAnsi" w:cstheme="minorHAnsi"/>
          <w:color w:val="333333"/>
          <w:sz w:val="22"/>
          <w:szCs w:val="22"/>
        </w:rPr>
        <w:t>Perhaps nowhere else on American campuses is an academic subject more closely connected to the members of a profession than in the field of accounting. There is no discipline of accounting apart from the practice of accounting, and faculty are dedicated to preparing students for success in the profession. The profession has a vested interest in a continuous supply of entry-level candidates trained in financial reporting, controllership, attestation, and taxation. Members of both the academy and the profession serve advisory roles within the other’s organizations. Through a variety of firm-sponsored programs, practitioners keep faculty informed of developments within the profession, and faculty provide educational materials and research findings to improve practice. Just as it is important for academics to recognize changes taking place in the practice of accounting, it is important for the profession to understand the challenges and risks facing higher education. Three significant environmental factors are currently of major concern to U.S. colleges and accounting programs. All CPAs should take notice, as these items have the potential to reshape the landscape of accounting education.</w:t>
      </w:r>
    </w:p>
    <w:p w:rsidR="00077E9E" w:rsidRPr="00077E9E" w:rsidRDefault="00077E9E" w:rsidP="00077E9E">
      <w:pPr>
        <w:pStyle w:val="Heading3"/>
        <w:shd w:val="clear" w:color="auto" w:fill="FFFFFF"/>
        <w:spacing w:before="300" w:after="150" w:line="450" w:lineRule="atLeast"/>
        <w:rPr>
          <w:rFonts w:asciiTheme="minorHAnsi" w:hAnsiTheme="minorHAnsi" w:cstheme="minorHAnsi"/>
          <w:color w:val="4E4E4E"/>
        </w:rPr>
      </w:pPr>
      <w:r w:rsidRPr="00077E9E">
        <w:rPr>
          <w:rFonts w:asciiTheme="minorHAnsi" w:hAnsiTheme="minorHAnsi" w:cstheme="minorHAnsi"/>
          <w:color w:val="4E4E4E"/>
        </w:rPr>
        <w:t>The Enrollment Cliff</w:t>
      </w:r>
    </w:p>
    <w:p w:rsidR="00077E9E" w:rsidRPr="00077E9E" w:rsidRDefault="00077E9E" w:rsidP="00077E9E">
      <w:pPr>
        <w:pStyle w:val="NormalWeb"/>
        <w:shd w:val="clear" w:color="auto" w:fill="FFFFFF"/>
        <w:spacing w:before="0" w:beforeAutospacing="0" w:after="360" w:afterAutospacing="0" w:line="330" w:lineRule="atLeast"/>
        <w:rPr>
          <w:rFonts w:asciiTheme="minorHAnsi" w:hAnsiTheme="minorHAnsi" w:cstheme="minorHAnsi"/>
          <w:color w:val="333333"/>
          <w:sz w:val="22"/>
          <w:szCs w:val="22"/>
        </w:rPr>
      </w:pPr>
      <w:r w:rsidRPr="00077E9E">
        <w:rPr>
          <w:rFonts w:asciiTheme="minorHAnsi" w:hAnsiTheme="minorHAnsi" w:cstheme="minorHAnsi"/>
          <w:color w:val="333333"/>
          <w:sz w:val="22"/>
          <w:szCs w:val="22"/>
        </w:rPr>
        <w:t>Enrollments at U.S. colleges and universities have fallen for eight consecutive years and are now below 18 million for the first time this decade (</w:t>
      </w:r>
      <w:hyperlink r:id="rId13" w:tgtFrame="_blank" w:history="1">
        <w:r w:rsidRPr="00077E9E">
          <w:rPr>
            <w:rStyle w:val="Hyperlink"/>
            <w:rFonts w:asciiTheme="minorHAnsi" w:hAnsiTheme="minorHAnsi" w:cstheme="minorHAnsi"/>
            <w:b/>
            <w:bCs/>
            <w:sz w:val="22"/>
            <w:szCs w:val="22"/>
          </w:rPr>
          <w:t>https://bit.ly/2DLB5hD</w:t>
        </w:r>
      </w:hyperlink>
      <w:r w:rsidRPr="00077E9E">
        <w:rPr>
          <w:rFonts w:asciiTheme="minorHAnsi" w:hAnsiTheme="minorHAnsi" w:cstheme="minorHAnsi"/>
          <w:color w:val="333333"/>
          <w:sz w:val="22"/>
          <w:szCs w:val="22"/>
        </w:rPr>
        <w:t>). Recently, accounting programs have experienced a drop in accounting majors that outpaces this overall decline (A. Gabbin, “Warning Signs about the Future Supply of Accounting Graduates,” </w:t>
      </w:r>
      <w:r w:rsidRPr="00077E9E">
        <w:rPr>
          <w:rStyle w:val="Emphasis"/>
          <w:rFonts w:asciiTheme="minorHAnsi" w:hAnsiTheme="minorHAnsi" w:cstheme="minorHAnsi"/>
          <w:color w:val="333333"/>
          <w:sz w:val="22"/>
          <w:szCs w:val="22"/>
        </w:rPr>
        <w:t>CPA Journal,</w:t>
      </w:r>
      <w:r w:rsidRPr="00077E9E">
        <w:rPr>
          <w:rFonts w:asciiTheme="minorHAnsi" w:hAnsiTheme="minorHAnsi" w:cstheme="minorHAnsi"/>
          <w:color w:val="333333"/>
          <w:sz w:val="22"/>
          <w:szCs w:val="22"/>
        </w:rPr>
        <w:t xml:space="preserve"> September 2019). Demographic </w:t>
      </w:r>
      <w:r w:rsidRPr="00077E9E">
        <w:rPr>
          <w:rFonts w:asciiTheme="minorHAnsi" w:hAnsiTheme="minorHAnsi" w:cstheme="minorHAnsi"/>
          <w:color w:val="333333"/>
          <w:sz w:val="22"/>
          <w:szCs w:val="22"/>
        </w:rPr>
        <w:lastRenderedPageBreak/>
        <w:t>indicators point to things getting even worse for the nation’s colleges and universities. Between 2025 and 2029, the college-age population in the United States is expected to decrease by 15%.</w:t>
      </w:r>
    </w:p>
    <w:p w:rsidR="00077E9E" w:rsidRPr="00077E9E" w:rsidRDefault="00077E9E" w:rsidP="00077E9E">
      <w:pPr>
        <w:pStyle w:val="NormalWeb"/>
        <w:shd w:val="clear" w:color="auto" w:fill="FFFFFF"/>
        <w:spacing w:before="0" w:beforeAutospacing="0" w:after="360" w:afterAutospacing="0" w:line="330" w:lineRule="atLeast"/>
        <w:rPr>
          <w:rFonts w:asciiTheme="minorHAnsi" w:hAnsiTheme="minorHAnsi" w:cstheme="minorHAnsi"/>
          <w:color w:val="333333"/>
          <w:sz w:val="22"/>
          <w:szCs w:val="22"/>
        </w:rPr>
      </w:pPr>
      <w:r w:rsidRPr="00077E9E">
        <w:rPr>
          <w:rFonts w:asciiTheme="minorHAnsi" w:hAnsiTheme="minorHAnsi" w:cstheme="minorHAnsi"/>
          <w:color w:val="333333"/>
          <w:sz w:val="22"/>
          <w:szCs w:val="22"/>
        </w:rPr>
        <w:t>Labeled the “enrollment cliff,” this decline is not caused by the rising costs of a college education or the declining value proposition of a college degree; rather, the problem is beyond the control of higher education institutions, specifically the nation’s fertility rate. The birthrate in a given year largely determines the college freshman population 18 years later. The number of children born in the United States fell precipitously between 2008 and 2011. Because the drop in fertility coincided with the 2008 financial crisis, the decline is frequently attributed to that event; it is worth noting, however, that the birthrate failed to rebound with the economic recovery and the college-age population is expected to continue to decline by 1–2% per year after 2029. Immigration has also fallen during recent decades; the number of permanent resident “green cards” issued reached a peak in 1991 at 1.8 million, but has varied between 840,000 and 1.2 million since 2000 (Department of Homeland Security Office of Immigration Statistics, </w:t>
      </w:r>
      <w:hyperlink r:id="rId14" w:tgtFrame="_blank" w:history="1">
        <w:r w:rsidRPr="00077E9E">
          <w:rPr>
            <w:rStyle w:val="Hyperlink"/>
            <w:rFonts w:asciiTheme="minorHAnsi" w:hAnsiTheme="minorHAnsi" w:cstheme="minorHAnsi"/>
            <w:b/>
            <w:bCs/>
            <w:sz w:val="22"/>
            <w:szCs w:val="22"/>
          </w:rPr>
          <w:t>https://bit.ly/3fT3Rdi</w:t>
        </w:r>
      </w:hyperlink>
      <w:r w:rsidRPr="00077E9E">
        <w:rPr>
          <w:rFonts w:asciiTheme="minorHAnsi" w:hAnsiTheme="minorHAnsi" w:cstheme="minorHAnsi"/>
          <w:color w:val="333333"/>
          <w:sz w:val="22"/>
          <w:szCs w:val="22"/>
        </w:rPr>
        <w:t>.)</w:t>
      </w:r>
    </w:p>
    <w:p w:rsidR="00077E9E" w:rsidRDefault="00077E9E" w:rsidP="00077E9E">
      <w:pPr>
        <w:pStyle w:val="NormalWeb"/>
        <w:shd w:val="clear" w:color="auto" w:fill="FFFFFF"/>
        <w:spacing w:before="0" w:beforeAutospacing="0" w:after="360" w:afterAutospacing="0" w:line="330" w:lineRule="atLeast"/>
        <w:rPr>
          <w:rFonts w:asciiTheme="minorHAnsi" w:hAnsiTheme="minorHAnsi" w:cstheme="minorHAnsi"/>
          <w:color w:val="333333"/>
          <w:sz w:val="22"/>
          <w:szCs w:val="22"/>
        </w:rPr>
      </w:pPr>
      <w:r w:rsidRPr="00077E9E">
        <w:rPr>
          <w:rFonts w:asciiTheme="minorHAnsi" w:hAnsiTheme="minorHAnsi" w:cstheme="minorHAnsi"/>
          <w:color w:val="333333"/>
          <w:sz w:val="22"/>
          <w:szCs w:val="22"/>
        </w:rPr>
        <w:t>The most comprehensive examination of population trends and college enrollment is provided in </w:t>
      </w:r>
      <w:r w:rsidRPr="00077E9E">
        <w:rPr>
          <w:rStyle w:val="Emphasis"/>
          <w:rFonts w:asciiTheme="minorHAnsi" w:hAnsiTheme="minorHAnsi" w:cstheme="minorHAnsi"/>
          <w:color w:val="333333"/>
          <w:sz w:val="22"/>
          <w:szCs w:val="22"/>
        </w:rPr>
        <w:t>Demographics and the Demand for Higher Education</w:t>
      </w:r>
      <w:r w:rsidRPr="00077E9E">
        <w:rPr>
          <w:rFonts w:asciiTheme="minorHAnsi" w:hAnsiTheme="minorHAnsi" w:cstheme="minorHAnsi"/>
          <w:color w:val="333333"/>
          <w:sz w:val="22"/>
          <w:szCs w:val="22"/>
        </w:rPr>
        <w:t> by Nathan Grawe, an economist at Carleton College in Minnesota (Johns Hopkins University Press, 2018). Using census information on the number of births and demographic characteristics correlated with college attendance, Grawe predicts college enrollments in the coming years. To get a better understanding of the effect of changing birthrates on different regions of the country, Grawe’s estimates of changes in college populations by U.S. census division are presented in </w:t>
      </w:r>
      <w:hyperlink r:id="rId15" w:anchor="F1" w:history="1">
        <w:r w:rsidRPr="00077E9E">
          <w:rPr>
            <w:rStyle w:val="Emphasis"/>
            <w:rFonts w:asciiTheme="minorHAnsi" w:hAnsiTheme="minorHAnsi" w:cstheme="minorHAnsi"/>
            <w:b/>
            <w:bCs/>
            <w:color w:val="0000FF"/>
            <w:sz w:val="22"/>
            <w:szCs w:val="22"/>
          </w:rPr>
          <w:t>Exhibit 1</w:t>
        </w:r>
      </w:hyperlink>
      <w:r w:rsidRPr="00077E9E">
        <w:rPr>
          <w:rFonts w:asciiTheme="minorHAnsi" w:hAnsiTheme="minorHAnsi" w:cstheme="minorHAnsi"/>
          <w:color w:val="333333"/>
          <w:sz w:val="22"/>
          <w:szCs w:val="22"/>
        </w:rPr>
        <w:t>. His model predicts a decrease of 11% nationwide, but significant variation exists among regions. In absolute terms, the Middle Atlantic (NJ, NY, and PA) and East North Central (IL, IN, OH, MI, and WI) account for 56% of the overall drop in predicted college enrollments, but only 27% of the U.S. population.</w:t>
      </w:r>
    </w:p>
    <w:p w:rsidR="00077E9E" w:rsidRPr="00077E9E" w:rsidRDefault="00077E9E" w:rsidP="00077E9E">
      <w:pPr>
        <w:pStyle w:val="NormalWeb"/>
        <w:shd w:val="clear" w:color="auto" w:fill="FFFFFF"/>
        <w:spacing w:before="0" w:beforeAutospacing="0" w:after="360" w:afterAutospacing="0" w:line="330" w:lineRule="atLeast"/>
        <w:rPr>
          <w:rFonts w:asciiTheme="minorHAnsi" w:hAnsiTheme="minorHAnsi" w:cstheme="minorHAnsi"/>
          <w:b/>
          <w:color w:val="333333"/>
          <w:sz w:val="22"/>
          <w:szCs w:val="22"/>
        </w:rPr>
      </w:pPr>
      <w:r w:rsidRPr="00077E9E">
        <w:rPr>
          <w:rFonts w:asciiTheme="minorHAnsi" w:hAnsiTheme="minorHAnsi" w:cstheme="minorHAnsi"/>
          <w:b/>
          <w:color w:val="333333"/>
          <w:sz w:val="22"/>
          <w:szCs w:val="22"/>
        </w:rPr>
        <w:t>Exhibit 1</w:t>
      </w:r>
    </w:p>
    <w:p w:rsidR="00077E9E" w:rsidRPr="00077E9E" w:rsidRDefault="00077E9E" w:rsidP="00077E9E">
      <w:pPr>
        <w:pStyle w:val="NormalWeb"/>
        <w:shd w:val="clear" w:color="auto" w:fill="FFFFFF"/>
        <w:spacing w:before="0" w:beforeAutospacing="0" w:after="360" w:afterAutospacing="0" w:line="330" w:lineRule="atLeast"/>
        <w:rPr>
          <w:rFonts w:asciiTheme="minorHAnsi" w:hAnsiTheme="minorHAnsi" w:cstheme="minorHAnsi"/>
          <w:b/>
          <w:color w:val="333333"/>
          <w:sz w:val="22"/>
          <w:szCs w:val="22"/>
        </w:rPr>
      </w:pPr>
      <w:r w:rsidRPr="00077E9E">
        <w:rPr>
          <w:rFonts w:asciiTheme="minorHAnsi" w:hAnsiTheme="minorHAnsi" w:cstheme="minorHAnsi"/>
          <w:b/>
          <w:color w:val="333333"/>
          <w:sz w:val="22"/>
          <w:szCs w:val="22"/>
        </w:rPr>
        <w:t>Forecasted Changes in College-Age Population, by Census Division</w:t>
      </w:r>
    </w:p>
    <w:p w:rsidR="00077E9E" w:rsidRPr="00077E9E" w:rsidRDefault="00077E9E" w:rsidP="00077E9E">
      <w:pPr>
        <w:pStyle w:val="NormalWeb"/>
        <w:shd w:val="clear" w:color="auto" w:fill="FFFFFF"/>
        <w:spacing w:before="0" w:beforeAutospacing="0" w:after="360" w:afterAutospacing="0" w:line="330" w:lineRule="atLeast"/>
        <w:rPr>
          <w:rFonts w:asciiTheme="minorHAnsi" w:hAnsiTheme="minorHAnsi" w:cstheme="minorHAnsi"/>
          <w:color w:val="333333"/>
          <w:sz w:val="22"/>
          <w:szCs w:val="22"/>
        </w:rPr>
      </w:pPr>
      <w:r>
        <w:rPr>
          <w:noProof/>
        </w:rPr>
        <w:lastRenderedPageBreak/>
        <w:drawing>
          <wp:inline distT="0" distB="0" distL="0" distR="0" wp14:anchorId="59DBDA63" wp14:editId="6255F6DB">
            <wp:extent cx="5943600" cy="3544570"/>
            <wp:effectExtent l="0" t="0" r="0" b="0"/>
            <wp:docPr id="4" name="Picture 4" descr="https://www.nysscpa.org/cpaj-images/CPA.2020.90.9.022.f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ysscpa.org/cpaj-images/CPA.2020.90.9.022.f0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3544570"/>
                    </a:xfrm>
                    <a:prstGeom prst="rect">
                      <a:avLst/>
                    </a:prstGeom>
                    <a:noFill/>
                    <a:ln>
                      <a:noFill/>
                    </a:ln>
                  </pic:spPr>
                </pic:pic>
              </a:graphicData>
            </a:graphic>
          </wp:inline>
        </w:drawing>
      </w:r>
    </w:p>
    <w:p w:rsidR="00077E9E" w:rsidRPr="00077E9E" w:rsidRDefault="00077E9E" w:rsidP="00077E9E">
      <w:pPr>
        <w:pStyle w:val="NormalWeb"/>
        <w:shd w:val="clear" w:color="auto" w:fill="FFFFFF"/>
        <w:spacing w:before="0" w:beforeAutospacing="0" w:after="360" w:afterAutospacing="0" w:line="330" w:lineRule="atLeast"/>
        <w:rPr>
          <w:rFonts w:asciiTheme="minorHAnsi" w:hAnsiTheme="minorHAnsi" w:cstheme="minorHAnsi"/>
          <w:color w:val="333333"/>
          <w:sz w:val="22"/>
          <w:szCs w:val="22"/>
        </w:rPr>
      </w:pPr>
      <w:r w:rsidRPr="00077E9E">
        <w:rPr>
          <w:rFonts w:asciiTheme="minorHAnsi" w:hAnsiTheme="minorHAnsi" w:cstheme="minorHAnsi"/>
          <w:color w:val="333333"/>
          <w:sz w:val="22"/>
          <w:szCs w:val="22"/>
        </w:rPr>
        <w:t>To appreciate the importance of college enrollment, it is useful to understand the business model of most universities. Assume that a university builds a state-of-the-art student recreation center that it believes it needs in order to remain competitive with other institutions vying for freshmen. The future debt service and upkeep of the recreation center requires either that the institution increase tuition (and fees) or increase the number of students paying tuition. Because higher tuition will presumably decrease enrollment, the better option is to attract more students. Every new facility or new program adds costs, however, and these are overwhelmingly fixed costs; they persist whether the college meets its enrollment targets or not. As a result, most institutions are not merely dependent upon maintaining student enrollment, but on increasing it.</w:t>
      </w:r>
    </w:p>
    <w:p w:rsidR="00077E9E" w:rsidRPr="00077E9E" w:rsidRDefault="00077E9E" w:rsidP="00077E9E">
      <w:pPr>
        <w:pStyle w:val="NormalWeb"/>
        <w:shd w:val="clear" w:color="auto" w:fill="FFFFFF"/>
        <w:spacing w:before="0" w:beforeAutospacing="0" w:after="360" w:afterAutospacing="0" w:line="330" w:lineRule="atLeast"/>
        <w:rPr>
          <w:rFonts w:asciiTheme="minorHAnsi" w:hAnsiTheme="minorHAnsi" w:cstheme="minorHAnsi"/>
          <w:color w:val="333333"/>
          <w:sz w:val="22"/>
          <w:szCs w:val="22"/>
        </w:rPr>
      </w:pPr>
      <w:r w:rsidRPr="00077E9E">
        <w:rPr>
          <w:rFonts w:asciiTheme="minorHAnsi" w:hAnsiTheme="minorHAnsi" w:cstheme="minorHAnsi"/>
          <w:color w:val="333333"/>
          <w:sz w:val="22"/>
          <w:szCs w:val="22"/>
        </w:rPr>
        <w:t>In an era of decreasing enrollments, schools must also address the cost issue. Using data analytics to guide organizational restructuring, some schools are phasing out low-demand degree programs and shifting away from academic departments to interdisciplinary units. Eliminating programs takes several years, because schools are obligated to enable students to complete programs in which they are currently enrolled.</w:t>
      </w:r>
    </w:p>
    <w:p w:rsidR="00077E9E" w:rsidRPr="00077E9E" w:rsidRDefault="00077E9E" w:rsidP="00077E9E">
      <w:pPr>
        <w:pStyle w:val="NormalWeb"/>
        <w:shd w:val="clear" w:color="auto" w:fill="FFFFFF"/>
        <w:spacing w:before="0" w:beforeAutospacing="0" w:after="360" w:afterAutospacing="0" w:line="330" w:lineRule="atLeast"/>
        <w:rPr>
          <w:rFonts w:asciiTheme="minorHAnsi" w:hAnsiTheme="minorHAnsi" w:cstheme="minorHAnsi"/>
          <w:color w:val="333333"/>
          <w:sz w:val="22"/>
          <w:szCs w:val="22"/>
        </w:rPr>
      </w:pPr>
      <w:r w:rsidRPr="00077E9E">
        <w:rPr>
          <w:rFonts w:asciiTheme="minorHAnsi" w:hAnsiTheme="minorHAnsi" w:cstheme="minorHAnsi"/>
          <w:color w:val="333333"/>
          <w:sz w:val="22"/>
          <w:szCs w:val="22"/>
        </w:rPr>
        <w:t xml:space="preserve">Of course, the enrollment crisis is not bad news for everyone. Children who are currently in elementary school will enter college at a time when schools are aggressively competing for students. Already, public universities are finding it difficult to increase tuition and private colleges are offering more generous financial aid packages. Within select majors, some public universities are waiving the tuition premium normally charged to out-of-state students. More openly than in the past, schools now recognize that </w:t>
      </w:r>
      <w:r w:rsidRPr="00077E9E">
        <w:rPr>
          <w:rFonts w:asciiTheme="minorHAnsi" w:hAnsiTheme="minorHAnsi" w:cstheme="minorHAnsi"/>
          <w:color w:val="333333"/>
          <w:sz w:val="22"/>
          <w:szCs w:val="22"/>
        </w:rPr>
        <w:lastRenderedPageBreak/>
        <w:t>they can better maintain enrollments if they reduce dropout rates. There is a growing emphasis on student success initiatives, such as frequent advisor meetings, tutoring, financial support, and student life programs.</w:t>
      </w:r>
    </w:p>
    <w:p w:rsidR="00077E9E" w:rsidRPr="00077E9E" w:rsidRDefault="00077E9E" w:rsidP="00077E9E">
      <w:pPr>
        <w:pStyle w:val="NormalWeb"/>
        <w:shd w:val="clear" w:color="auto" w:fill="FFFFFF"/>
        <w:spacing w:before="0" w:beforeAutospacing="0" w:after="360" w:afterAutospacing="0" w:line="330" w:lineRule="atLeast"/>
        <w:rPr>
          <w:rFonts w:asciiTheme="minorHAnsi" w:hAnsiTheme="minorHAnsi" w:cstheme="minorHAnsi"/>
          <w:color w:val="333333"/>
          <w:sz w:val="22"/>
          <w:szCs w:val="22"/>
        </w:rPr>
      </w:pPr>
      <w:r w:rsidRPr="00077E9E">
        <w:rPr>
          <w:rFonts w:asciiTheme="minorHAnsi" w:hAnsiTheme="minorHAnsi" w:cstheme="minorHAnsi"/>
          <w:color w:val="333333"/>
          <w:sz w:val="22"/>
          <w:szCs w:val="22"/>
        </w:rPr>
        <w:t>The enrollment cliff is a looming crisis within higher education, and nearly all schools are looking to develop better marketing strategies. The problem is that if these efforts are directed to the same shrinking pool of students, not every school will be successful despite spending more. Most agree that it is better to identify potential new sources of students. For example, there are efforts to recruit more working adults, first-generation students, and international students. Enrollments of international students in U.S. colleges has fallen 6% per year since 2016, with the largest decrease being seen in business majors; during the same time period, colleges in Canada have reported annual increases of 15–20%. The conclusion is that there exists demand by international students to study in English-speaking universities, but U.S. colleges are having difficulties attracting international students. Among factors contributing to this change are the effects of recent administration policies such as increased scrutiny of F-1 visa applications, anti-immigrant rhetoric, and concerns on the part of prospective students about safety following highly publicized campus shootings.</w:t>
      </w:r>
    </w:p>
    <w:p w:rsidR="00077E9E" w:rsidRPr="00077E9E" w:rsidRDefault="00077E9E" w:rsidP="00077E9E">
      <w:pPr>
        <w:pStyle w:val="NormalWeb"/>
        <w:shd w:val="clear" w:color="auto" w:fill="FFFFFF"/>
        <w:spacing w:before="0" w:beforeAutospacing="0" w:after="360" w:afterAutospacing="0" w:line="330" w:lineRule="atLeast"/>
        <w:rPr>
          <w:rFonts w:asciiTheme="minorHAnsi" w:hAnsiTheme="minorHAnsi" w:cstheme="minorHAnsi"/>
          <w:color w:val="333333"/>
          <w:sz w:val="22"/>
          <w:szCs w:val="22"/>
        </w:rPr>
      </w:pPr>
      <w:r w:rsidRPr="00077E9E">
        <w:rPr>
          <w:rFonts w:asciiTheme="minorHAnsi" w:hAnsiTheme="minorHAnsi" w:cstheme="minorHAnsi"/>
          <w:color w:val="333333"/>
          <w:sz w:val="22"/>
          <w:szCs w:val="22"/>
        </w:rPr>
        <w:t>A study of census data by the Pew Research Center provides some encouraging detail about the current generation of college students (</w:t>
      </w:r>
      <w:hyperlink r:id="rId17" w:tgtFrame="_blank" w:history="1">
        <w:r w:rsidRPr="00077E9E">
          <w:rPr>
            <w:rStyle w:val="Hyperlink"/>
            <w:rFonts w:asciiTheme="minorHAnsi" w:hAnsiTheme="minorHAnsi" w:cstheme="minorHAnsi"/>
            <w:b/>
            <w:bCs/>
            <w:sz w:val="22"/>
            <w:szCs w:val="22"/>
          </w:rPr>
          <w:t>https://pewrsr.ch/3iE0cBV/</w:t>
        </w:r>
      </w:hyperlink>
      <w:r w:rsidRPr="00077E9E">
        <w:rPr>
          <w:rFonts w:asciiTheme="minorHAnsi" w:hAnsiTheme="minorHAnsi" w:cstheme="minorHAnsi"/>
          <w:color w:val="333333"/>
          <w:sz w:val="22"/>
          <w:szCs w:val="22"/>
        </w:rPr>
        <w:t>). The study compares Americans born between 1997 and 2012 (the “postmillennial” generation) with earlier generations, including the millennials (1981–1996). It is clear from the findings that the decline in birthrate was not uniform across demographic groups. One in four postmillennials are Hispanic, and non-Hispanic whites now comprise only a slight majority (52%) of the population. These proportions are significantly different than the previous generation (18% and 61% respectively for millennials). In western states, the proportions of postmillennial Hispanics and non-Hispanic whites are now equal (40%).</w:t>
      </w:r>
    </w:p>
    <w:p w:rsidR="00077E9E" w:rsidRPr="00077E9E" w:rsidRDefault="00077E9E" w:rsidP="00077E9E">
      <w:pPr>
        <w:pStyle w:val="NormalWeb"/>
        <w:shd w:val="clear" w:color="auto" w:fill="FFFFFF"/>
        <w:spacing w:before="0" w:beforeAutospacing="0" w:after="360" w:afterAutospacing="0" w:line="330" w:lineRule="atLeast"/>
        <w:rPr>
          <w:rFonts w:asciiTheme="minorHAnsi" w:hAnsiTheme="minorHAnsi" w:cstheme="minorHAnsi"/>
          <w:color w:val="333333"/>
          <w:sz w:val="22"/>
          <w:szCs w:val="22"/>
        </w:rPr>
      </w:pPr>
      <w:r w:rsidRPr="00077E9E">
        <w:rPr>
          <w:rFonts w:asciiTheme="minorHAnsi" w:hAnsiTheme="minorHAnsi" w:cstheme="minorHAnsi"/>
          <w:color w:val="333333"/>
          <w:sz w:val="22"/>
          <w:szCs w:val="22"/>
        </w:rPr>
        <w:t>Most encouraging for higher education is the proportion of 18- to 20-year-old adults currently enrolled in college. Compared to the preceding generation, college enrollment percentages are higher for every demographic group, with notable increases for Hispanics (from 34% to 55%), Blacks (from 47% to 54%), and women (from 57% to 64%). The increase in college-bound percentages may be explained by other factors reported in the Pew study. Postmillennials are more likely to have been born in the United States and more likely to be living with at least one parent who has a bachelor’s degree (from 32% to 43%).</w:t>
      </w:r>
    </w:p>
    <w:p w:rsidR="00077E9E" w:rsidRPr="00077E9E" w:rsidRDefault="00077E9E" w:rsidP="00077E9E">
      <w:pPr>
        <w:pStyle w:val="NormalWeb"/>
        <w:shd w:val="clear" w:color="auto" w:fill="FFFFFF"/>
        <w:spacing w:before="0" w:beforeAutospacing="0" w:after="360" w:afterAutospacing="0" w:line="330" w:lineRule="atLeast"/>
        <w:rPr>
          <w:rFonts w:asciiTheme="minorHAnsi" w:hAnsiTheme="minorHAnsi" w:cstheme="minorHAnsi"/>
          <w:color w:val="333333"/>
          <w:sz w:val="22"/>
          <w:szCs w:val="22"/>
        </w:rPr>
      </w:pPr>
      <w:r w:rsidRPr="00077E9E">
        <w:rPr>
          <w:rFonts w:asciiTheme="minorHAnsi" w:hAnsiTheme="minorHAnsi" w:cstheme="minorHAnsi"/>
          <w:color w:val="333333"/>
          <w:sz w:val="22"/>
          <w:szCs w:val="22"/>
        </w:rPr>
        <w:t>Public accounting firms should be at the forefront in recruiting minorities. Demographic trends indicate that higher proportions of college students will fall into historically underrepresented groups. It is increasingly important that firms aggressively recruit these students in the future. Similarly, accounting programs need to actively encourage minority students if the downward trend in accounting majors is to be halted.</w:t>
      </w:r>
    </w:p>
    <w:p w:rsidR="00077E9E" w:rsidRPr="00077E9E" w:rsidRDefault="00077E9E" w:rsidP="00077E9E">
      <w:pPr>
        <w:pStyle w:val="NormalWeb"/>
        <w:shd w:val="clear" w:color="auto" w:fill="FFFFFF"/>
        <w:spacing w:before="0" w:beforeAutospacing="0" w:after="0" w:afterAutospacing="0" w:line="330" w:lineRule="atLeast"/>
        <w:rPr>
          <w:rFonts w:asciiTheme="minorHAnsi" w:hAnsiTheme="minorHAnsi" w:cstheme="minorHAnsi"/>
          <w:i/>
          <w:iCs/>
          <w:color w:val="A60000"/>
          <w:sz w:val="22"/>
          <w:szCs w:val="22"/>
        </w:rPr>
      </w:pPr>
      <w:r w:rsidRPr="00077E9E">
        <w:rPr>
          <w:rFonts w:asciiTheme="minorHAnsi" w:hAnsiTheme="minorHAnsi" w:cstheme="minorHAnsi"/>
          <w:i/>
          <w:iCs/>
          <w:color w:val="A60000"/>
          <w:sz w:val="22"/>
          <w:szCs w:val="22"/>
        </w:rPr>
        <w:lastRenderedPageBreak/>
        <w:t>U.S. colleges and universities view international students as one of their best opportunities to boost enrollments.</w:t>
      </w:r>
    </w:p>
    <w:p w:rsidR="00077E9E" w:rsidRPr="00077E9E" w:rsidRDefault="00077E9E" w:rsidP="00077E9E">
      <w:pPr>
        <w:pStyle w:val="NormalWeb"/>
        <w:shd w:val="clear" w:color="auto" w:fill="FFFFFF"/>
        <w:spacing w:before="0" w:beforeAutospacing="0" w:after="360" w:afterAutospacing="0" w:line="330" w:lineRule="atLeast"/>
        <w:rPr>
          <w:rFonts w:asciiTheme="minorHAnsi" w:hAnsiTheme="minorHAnsi" w:cstheme="minorHAnsi"/>
          <w:color w:val="333333"/>
          <w:sz w:val="22"/>
          <w:szCs w:val="22"/>
        </w:rPr>
      </w:pPr>
      <w:r w:rsidRPr="00077E9E">
        <w:rPr>
          <w:rFonts w:asciiTheme="minorHAnsi" w:hAnsiTheme="minorHAnsi" w:cstheme="minorHAnsi"/>
          <w:color w:val="333333"/>
          <w:sz w:val="22"/>
          <w:szCs w:val="22"/>
        </w:rPr>
        <w:t>Accounting employers have historically been reluctant to hire international students. Nevertheless, U.S. colleges and universities view international students as one of their best opportunities to boost enrollments. To address the enrollment cliff, colleges will likely pursue larger numbers of international students. The time may have now come for firms to reconsider their reluctance to sponsor international candidates, as the overall pool is shrinking and many of the most qualified candidates will be non-U.S. citizens.</w:t>
      </w:r>
    </w:p>
    <w:p w:rsidR="00077E9E" w:rsidRPr="00077E9E" w:rsidRDefault="00077E9E" w:rsidP="00077E9E">
      <w:pPr>
        <w:pStyle w:val="Heading3"/>
        <w:shd w:val="clear" w:color="auto" w:fill="FFFFFF"/>
        <w:spacing w:before="300" w:after="150" w:line="450" w:lineRule="atLeast"/>
        <w:rPr>
          <w:rFonts w:asciiTheme="minorHAnsi" w:hAnsiTheme="minorHAnsi" w:cstheme="minorHAnsi"/>
          <w:color w:val="4E4E4E"/>
        </w:rPr>
      </w:pPr>
      <w:r w:rsidRPr="00077E9E">
        <w:rPr>
          <w:rFonts w:asciiTheme="minorHAnsi" w:hAnsiTheme="minorHAnsi" w:cstheme="minorHAnsi"/>
          <w:color w:val="4E4E4E"/>
        </w:rPr>
        <w:t>Mega-universities</w:t>
      </w:r>
    </w:p>
    <w:p w:rsidR="00077E9E" w:rsidRPr="00077E9E" w:rsidRDefault="00077E9E" w:rsidP="00077E9E">
      <w:pPr>
        <w:pStyle w:val="NormalWeb"/>
        <w:shd w:val="clear" w:color="auto" w:fill="FFFFFF"/>
        <w:spacing w:before="0" w:beforeAutospacing="0" w:after="360" w:afterAutospacing="0" w:line="330" w:lineRule="atLeast"/>
        <w:rPr>
          <w:rFonts w:asciiTheme="minorHAnsi" w:hAnsiTheme="minorHAnsi" w:cstheme="minorHAnsi"/>
          <w:color w:val="333333"/>
          <w:sz w:val="22"/>
          <w:szCs w:val="22"/>
        </w:rPr>
      </w:pPr>
      <w:r w:rsidRPr="00077E9E">
        <w:rPr>
          <w:rFonts w:asciiTheme="minorHAnsi" w:hAnsiTheme="minorHAnsi" w:cstheme="minorHAnsi"/>
          <w:color w:val="333333"/>
          <w:sz w:val="22"/>
          <w:szCs w:val="22"/>
        </w:rPr>
        <w:t>The last decade has seen the rise of mega-universities, including Liberty, Grand Canyon, Southern New Hampshire, and Western Governors universities. Characterized by massive online enrollments, each has an interesting and distinctive history.</w:t>
      </w:r>
    </w:p>
    <w:p w:rsidR="00077E9E" w:rsidRPr="00077E9E" w:rsidRDefault="00077E9E" w:rsidP="00077E9E">
      <w:pPr>
        <w:pStyle w:val="NormalWeb"/>
        <w:shd w:val="clear" w:color="auto" w:fill="FFFFFF"/>
        <w:spacing w:before="0" w:beforeAutospacing="0" w:after="360" w:afterAutospacing="0" w:line="330" w:lineRule="atLeast"/>
        <w:rPr>
          <w:rFonts w:asciiTheme="minorHAnsi" w:hAnsiTheme="minorHAnsi" w:cstheme="minorHAnsi"/>
          <w:color w:val="333333"/>
          <w:sz w:val="22"/>
          <w:szCs w:val="22"/>
        </w:rPr>
      </w:pPr>
      <w:r w:rsidRPr="00077E9E">
        <w:rPr>
          <w:rFonts w:asciiTheme="minorHAnsi" w:hAnsiTheme="minorHAnsi" w:cstheme="minorHAnsi"/>
          <w:color w:val="333333"/>
          <w:sz w:val="22"/>
          <w:szCs w:val="22"/>
        </w:rPr>
        <w:t>Founded by Jerry Falwell in 1971 as Lynchburg Baptist College, Liberty University is a private nonprofit university with a residential campus of 15,000 students and online programs enrolling 95,000. Liberty began its distance learning programs in 1985 by mailing VHS tapes to students, but greatly expanded its offerings and enrollment following the advent of high-speed Internet access.</w:t>
      </w:r>
    </w:p>
    <w:p w:rsidR="00077E9E" w:rsidRPr="00077E9E" w:rsidRDefault="00077E9E" w:rsidP="00077E9E">
      <w:pPr>
        <w:pStyle w:val="NormalWeb"/>
        <w:shd w:val="clear" w:color="auto" w:fill="FFFFFF"/>
        <w:spacing w:before="0" w:beforeAutospacing="0" w:after="360" w:afterAutospacing="0" w:line="330" w:lineRule="atLeast"/>
        <w:rPr>
          <w:rFonts w:asciiTheme="minorHAnsi" w:hAnsiTheme="minorHAnsi" w:cstheme="minorHAnsi"/>
          <w:color w:val="333333"/>
          <w:sz w:val="22"/>
          <w:szCs w:val="22"/>
        </w:rPr>
      </w:pPr>
      <w:r w:rsidRPr="00077E9E">
        <w:rPr>
          <w:rFonts w:asciiTheme="minorHAnsi" w:hAnsiTheme="minorHAnsi" w:cstheme="minorHAnsi"/>
          <w:color w:val="333333"/>
          <w:sz w:val="22"/>
          <w:szCs w:val="22"/>
        </w:rPr>
        <w:t>Like Liberty, Grand Canyon University started as a nonprofit college associated with the Baptist denomination. In 2004, GCU was sold to an LLC and is classified by the Department of Education as a for-profit university. The only for-profit school to participate in NCAA Division 1 athletics, GCU has more than 90,000 students, of which 70,000 are enrolled online.</w:t>
      </w:r>
    </w:p>
    <w:p w:rsidR="00077E9E" w:rsidRPr="00077E9E" w:rsidRDefault="00077E9E" w:rsidP="00077E9E">
      <w:pPr>
        <w:pStyle w:val="NormalWeb"/>
        <w:shd w:val="clear" w:color="auto" w:fill="FFFFFF"/>
        <w:spacing w:before="0" w:beforeAutospacing="0" w:after="360" w:afterAutospacing="0" w:line="330" w:lineRule="atLeast"/>
        <w:rPr>
          <w:rFonts w:asciiTheme="minorHAnsi" w:hAnsiTheme="minorHAnsi" w:cstheme="minorHAnsi"/>
          <w:color w:val="333333"/>
          <w:sz w:val="22"/>
          <w:szCs w:val="22"/>
        </w:rPr>
      </w:pPr>
      <w:r w:rsidRPr="00077E9E">
        <w:rPr>
          <w:rFonts w:asciiTheme="minorHAnsi" w:hAnsiTheme="minorHAnsi" w:cstheme="minorHAnsi"/>
          <w:color w:val="333333"/>
          <w:sz w:val="22"/>
          <w:szCs w:val="22"/>
        </w:rPr>
        <w:t>Previously named the New Hampshire College of Accounting and Commerce, Southern New Hampshire University started as a for-profit college but reorganized itself as a nonprofit university. Facing increasing costs and declining enrollments throughout the early 2000s, SNU changed its focus in 2009 to online offerings. Using more than 5,000 part-time faculty, SNU’s enrollment now exceeds 90,000 students, of which 87,000 are enrolled online.</w:t>
      </w:r>
    </w:p>
    <w:p w:rsidR="00077E9E" w:rsidRPr="00077E9E" w:rsidRDefault="00077E9E" w:rsidP="00077E9E">
      <w:pPr>
        <w:pStyle w:val="NormalWeb"/>
        <w:shd w:val="clear" w:color="auto" w:fill="FFFFFF"/>
        <w:spacing w:before="0" w:beforeAutospacing="0" w:after="360" w:afterAutospacing="0" w:line="330" w:lineRule="atLeast"/>
        <w:rPr>
          <w:rFonts w:asciiTheme="minorHAnsi" w:hAnsiTheme="minorHAnsi" w:cstheme="minorHAnsi"/>
          <w:color w:val="333333"/>
          <w:sz w:val="22"/>
          <w:szCs w:val="22"/>
        </w:rPr>
      </w:pPr>
      <w:r w:rsidRPr="00077E9E">
        <w:rPr>
          <w:rFonts w:asciiTheme="minorHAnsi" w:hAnsiTheme="minorHAnsi" w:cstheme="minorHAnsi"/>
          <w:color w:val="333333"/>
          <w:sz w:val="22"/>
          <w:szCs w:val="22"/>
        </w:rPr>
        <w:t>Western Governors University was founded in 1997 based on a proposal floated at a meeting of the Western Governors Association (1995) to expand educational offerings over the Internet. Nineteen U.S. governors each contributed $100,000 toward the founding of a self-sustaining private nonprofit university which now has over 110,000 students. WGU differs from the other mega-universities in that its courses are only offered online and the 2,000 faculty are almost exclusively full-time.</w:t>
      </w:r>
    </w:p>
    <w:p w:rsidR="00077E9E" w:rsidRPr="00077E9E" w:rsidRDefault="00077E9E" w:rsidP="00077E9E">
      <w:pPr>
        <w:pStyle w:val="NormalWeb"/>
        <w:shd w:val="clear" w:color="auto" w:fill="FFFFFF"/>
        <w:spacing w:before="0" w:beforeAutospacing="0" w:after="0" w:afterAutospacing="0" w:line="330" w:lineRule="atLeast"/>
        <w:rPr>
          <w:rFonts w:asciiTheme="minorHAnsi" w:hAnsiTheme="minorHAnsi" w:cstheme="minorHAnsi"/>
          <w:i/>
          <w:iCs/>
          <w:color w:val="A60000"/>
          <w:sz w:val="22"/>
          <w:szCs w:val="22"/>
        </w:rPr>
      </w:pPr>
      <w:r w:rsidRPr="00077E9E">
        <w:rPr>
          <w:rFonts w:asciiTheme="minorHAnsi" w:hAnsiTheme="minorHAnsi" w:cstheme="minorHAnsi"/>
          <w:i/>
          <w:iCs/>
          <w:color w:val="A60000"/>
          <w:sz w:val="22"/>
          <w:szCs w:val="22"/>
        </w:rPr>
        <w:lastRenderedPageBreak/>
        <w:t>Colleges that are adept at identifying the needs of adult learners and providing programs that meet those needs will succeed in the online marketplace.</w:t>
      </w:r>
    </w:p>
    <w:p w:rsidR="00077E9E" w:rsidRPr="00077E9E" w:rsidRDefault="00077E9E" w:rsidP="00077E9E">
      <w:pPr>
        <w:pStyle w:val="NormalWeb"/>
        <w:shd w:val="clear" w:color="auto" w:fill="FFFFFF"/>
        <w:spacing w:before="0" w:beforeAutospacing="0" w:after="360" w:afterAutospacing="0" w:line="330" w:lineRule="atLeast"/>
        <w:rPr>
          <w:rFonts w:asciiTheme="minorHAnsi" w:hAnsiTheme="minorHAnsi" w:cstheme="minorHAnsi"/>
          <w:color w:val="333333"/>
          <w:sz w:val="22"/>
          <w:szCs w:val="22"/>
        </w:rPr>
      </w:pPr>
      <w:r w:rsidRPr="00077E9E">
        <w:rPr>
          <w:rFonts w:asciiTheme="minorHAnsi" w:hAnsiTheme="minorHAnsi" w:cstheme="minorHAnsi"/>
          <w:color w:val="333333"/>
          <w:sz w:val="22"/>
          <w:szCs w:val="22"/>
        </w:rPr>
        <w:t>The success of these mega-universities has been attributable to their appeal to a segment of the population largely overlooked by traditional four-year schools. Their target customers are the estimated 30 million Americans who have some college education but never completed a degree (</w:t>
      </w:r>
      <w:hyperlink r:id="rId18" w:tgtFrame="_blank" w:history="1">
        <w:r w:rsidRPr="00077E9E">
          <w:rPr>
            <w:rStyle w:val="Hyperlink"/>
            <w:rFonts w:asciiTheme="minorHAnsi" w:hAnsiTheme="minorHAnsi" w:cstheme="minorHAnsi"/>
            <w:b/>
            <w:bCs/>
            <w:sz w:val="22"/>
            <w:szCs w:val="22"/>
          </w:rPr>
          <w:t>https://bit.ly/2DPIUCO</w:t>
        </w:r>
      </w:hyperlink>
      <w:r w:rsidRPr="00077E9E">
        <w:rPr>
          <w:rFonts w:asciiTheme="minorHAnsi" w:hAnsiTheme="minorHAnsi" w:cstheme="minorHAnsi"/>
          <w:color w:val="333333"/>
          <w:sz w:val="22"/>
          <w:szCs w:val="22"/>
        </w:rPr>
        <w:t>). The flexibility afforded by an online format appeals to working adults. These universities have also responded to the desires of their customers by offering programs focused on those career credentials that enable their students to get better jobs. These universities promote competency-based education, which allows students to earn credits by demonstrating proficiency in a subject through life experience as well as academic study. Much of the success of mega-universities is attributable to an emphasis on student service and aggressive marketing.</w:t>
      </w:r>
    </w:p>
    <w:p w:rsidR="00077E9E" w:rsidRPr="00077E9E" w:rsidRDefault="00077E9E" w:rsidP="00077E9E">
      <w:pPr>
        <w:pStyle w:val="NormalWeb"/>
        <w:shd w:val="clear" w:color="auto" w:fill="FFFFFF"/>
        <w:spacing w:before="0" w:beforeAutospacing="0" w:after="360" w:afterAutospacing="0" w:line="330" w:lineRule="atLeast"/>
        <w:rPr>
          <w:rFonts w:asciiTheme="minorHAnsi" w:hAnsiTheme="minorHAnsi" w:cstheme="minorHAnsi"/>
          <w:color w:val="333333"/>
          <w:sz w:val="22"/>
          <w:szCs w:val="22"/>
        </w:rPr>
      </w:pPr>
      <w:r w:rsidRPr="00077E9E">
        <w:rPr>
          <w:rFonts w:asciiTheme="minorHAnsi" w:hAnsiTheme="minorHAnsi" w:cstheme="minorHAnsi"/>
          <w:color w:val="333333"/>
          <w:sz w:val="22"/>
          <w:szCs w:val="22"/>
        </w:rPr>
        <w:t>All four of these universities offer bachelor’s and master’s degrees in accounting. Additionally, students may pursue degrees in related areas, including data analytics and cybersecurity. However, the geographical dispersion of the student population presents challenges in recruiting students from these schools. Traditional practices of recruiting by region with on-campus interviews and social events are not likely to be effective. Alternatives are available—for example, one major accounting firm announced last year that it would replace all on-campus interviews with video interviews. Recently, the coronavirus (COVID-19) crisis has forced employers to move entry-level recruiting to phone or videoconferencing. These methods could be promoted on virtual campuses, and thereby firms could access a larger pool of candidates.</w:t>
      </w:r>
    </w:p>
    <w:p w:rsidR="00077E9E" w:rsidRPr="00077E9E" w:rsidRDefault="00077E9E" w:rsidP="00077E9E">
      <w:pPr>
        <w:pStyle w:val="NormalWeb"/>
        <w:shd w:val="clear" w:color="auto" w:fill="FFFFFF"/>
        <w:spacing w:before="0" w:beforeAutospacing="0" w:after="360" w:afterAutospacing="0" w:line="330" w:lineRule="atLeast"/>
        <w:rPr>
          <w:rFonts w:asciiTheme="minorHAnsi" w:hAnsiTheme="minorHAnsi" w:cstheme="minorHAnsi"/>
          <w:color w:val="333333"/>
          <w:sz w:val="22"/>
          <w:szCs w:val="22"/>
        </w:rPr>
      </w:pPr>
      <w:r w:rsidRPr="00077E9E">
        <w:rPr>
          <w:rFonts w:asciiTheme="minorHAnsi" w:hAnsiTheme="minorHAnsi" w:cstheme="minorHAnsi"/>
          <w:color w:val="333333"/>
          <w:sz w:val="22"/>
          <w:szCs w:val="22"/>
        </w:rPr>
        <w:t>Large online programs are not limited to the few mega-universities. Arizona State, Purdue, and the University of Maryland are among the public universities that have online programs which enroll tens of thousands of students. Because most U.S. colleges offer courses or entire degree programs in online format, it may be tempting to view online education as a solution to the pending enrollment crisis. Competing directly with the online programs of large public and mega-universities will be difficult, given their low tuition and large investments in marketing. The nature of careers has changed, however, with the result that individuals periodically require new job skills throughout their career. Colleges that are adept at identifying the needs of adult learners and providing programs that meet those needs will succeed in the online marketplace.</w:t>
      </w:r>
    </w:p>
    <w:p w:rsidR="00077E9E" w:rsidRPr="00077E9E" w:rsidRDefault="00077E9E" w:rsidP="00077E9E">
      <w:pPr>
        <w:pStyle w:val="Heading3"/>
        <w:shd w:val="clear" w:color="auto" w:fill="FFFFFF"/>
        <w:spacing w:before="300" w:line="450" w:lineRule="atLeast"/>
        <w:rPr>
          <w:rFonts w:asciiTheme="minorHAnsi" w:hAnsiTheme="minorHAnsi" w:cstheme="minorHAnsi"/>
          <w:i/>
          <w:iCs/>
          <w:color w:val="4E4E4E"/>
        </w:rPr>
      </w:pPr>
      <w:r w:rsidRPr="00077E9E">
        <w:rPr>
          <w:rFonts w:asciiTheme="minorHAnsi" w:hAnsiTheme="minorHAnsi" w:cstheme="minorHAnsi"/>
          <w:i/>
          <w:iCs/>
          <w:color w:val="4E4E4E"/>
        </w:rPr>
        <w:t>Impact of COVID-19</w:t>
      </w:r>
    </w:p>
    <w:p w:rsidR="00077E9E" w:rsidRPr="00077E9E" w:rsidRDefault="00077E9E" w:rsidP="00077E9E">
      <w:pPr>
        <w:pStyle w:val="NormalWeb"/>
        <w:shd w:val="clear" w:color="auto" w:fill="FFFFFF"/>
        <w:spacing w:before="0" w:beforeAutospacing="0" w:after="360" w:afterAutospacing="0" w:line="330" w:lineRule="atLeast"/>
        <w:rPr>
          <w:rFonts w:asciiTheme="minorHAnsi" w:hAnsiTheme="minorHAnsi" w:cstheme="minorHAnsi"/>
          <w:color w:val="333333"/>
          <w:sz w:val="22"/>
          <w:szCs w:val="22"/>
        </w:rPr>
      </w:pPr>
      <w:r w:rsidRPr="00077E9E">
        <w:rPr>
          <w:rFonts w:asciiTheme="minorHAnsi" w:hAnsiTheme="minorHAnsi" w:cstheme="minorHAnsi"/>
          <w:color w:val="333333"/>
          <w:sz w:val="22"/>
          <w:szCs w:val="22"/>
        </w:rPr>
        <w:t xml:space="preserve">It is too early to determine the full effect of the coronavirus (COVID-19) pandemic on U.S. colleges. Most schools remained open throughout spring 2020 but moved classes to an online format. Students were issued refunds for prorated portions of dormitory fees and meal plans; these auxiliary activities, however, represent only about 10% of revenues for a typical college. Other immediate-term costs include sanitizing facilities, providing protective materials for employees, and purchasing equipment and </w:t>
      </w:r>
      <w:r w:rsidRPr="00077E9E">
        <w:rPr>
          <w:rFonts w:asciiTheme="minorHAnsi" w:hAnsiTheme="minorHAnsi" w:cstheme="minorHAnsi"/>
          <w:color w:val="333333"/>
          <w:sz w:val="22"/>
          <w:szCs w:val="22"/>
        </w:rPr>
        <w:lastRenderedPageBreak/>
        <w:t>software for faculty to provide online instruction. At the same time, there are some opportunities for savings if costly events, such as commencement ceremonies, are curtailed.</w:t>
      </w:r>
    </w:p>
    <w:p w:rsidR="00077E9E" w:rsidRPr="00077E9E" w:rsidRDefault="00077E9E" w:rsidP="00077E9E">
      <w:pPr>
        <w:pStyle w:val="NormalWeb"/>
        <w:shd w:val="clear" w:color="auto" w:fill="FFFFFF"/>
        <w:spacing w:before="0" w:beforeAutospacing="0" w:after="360" w:afterAutospacing="0" w:line="330" w:lineRule="atLeast"/>
        <w:rPr>
          <w:rFonts w:asciiTheme="minorHAnsi" w:hAnsiTheme="minorHAnsi" w:cstheme="minorHAnsi"/>
          <w:color w:val="333333"/>
          <w:sz w:val="22"/>
          <w:szCs w:val="22"/>
        </w:rPr>
      </w:pPr>
      <w:r w:rsidRPr="00077E9E">
        <w:rPr>
          <w:rFonts w:asciiTheme="minorHAnsi" w:hAnsiTheme="minorHAnsi" w:cstheme="minorHAnsi"/>
          <w:color w:val="333333"/>
          <w:sz w:val="22"/>
          <w:szCs w:val="22"/>
        </w:rPr>
        <w:t>Of greater concern is the effect of the pandemic on enrollments. Students had little choice other than to complete their spring classes online. However, participation in summer sessions is largely discretionary and students may simply choose not to enroll in the fall if they are dissatisfied with the online format. Summer is also the primary term for study abroad, and those programs were cancelled. Freshman enrollments, already in decline, are likely to be affected as some families opt for a “gap year” between high school and college to await the development of vaccines or simply to see how the pandemic plays out. Even more worrisome will be the loss of international students whose out-of-state tuition is an increasingly important portion of public university budgets.</w:t>
      </w:r>
    </w:p>
    <w:p w:rsidR="00077E9E" w:rsidRPr="00077E9E" w:rsidRDefault="00077E9E" w:rsidP="00077E9E">
      <w:pPr>
        <w:pStyle w:val="NormalWeb"/>
        <w:shd w:val="clear" w:color="auto" w:fill="FFFFFF"/>
        <w:spacing w:before="0" w:beforeAutospacing="0" w:after="360" w:afterAutospacing="0" w:line="330" w:lineRule="atLeast"/>
        <w:rPr>
          <w:rFonts w:asciiTheme="minorHAnsi" w:hAnsiTheme="minorHAnsi" w:cstheme="minorHAnsi"/>
          <w:color w:val="333333"/>
          <w:sz w:val="22"/>
          <w:szCs w:val="22"/>
        </w:rPr>
      </w:pPr>
      <w:r w:rsidRPr="00077E9E">
        <w:rPr>
          <w:rFonts w:asciiTheme="minorHAnsi" w:hAnsiTheme="minorHAnsi" w:cstheme="minorHAnsi"/>
          <w:color w:val="333333"/>
          <w:sz w:val="22"/>
          <w:szCs w:val="22"/>
        </w:rPr>
        <w:t>The immediate effect among nearly all colleges and universities will be postponement of faculty hires, curtailment of new programs, nonrenewal of adjunct faculty contracts, and cuts in discretionary spending, such as facility upgrades, travel, and research funding. Faculty and staff salaries represent universities’ largest expenditures. Both private and state universities have announced salary cuts and furloughs to make up for pandemic losses. The Coronavirus Aid, Relief, and Economic Security Act (CARES Act) provides $14 billion to colleges and universities, but at least half must be used for emergency financial aid grants to students. Not all schools qualify and the amount a school receives depends on its number of Pell Grant–eligible students.</w:t>
      </w:r>
    </w:p>
    <w:p w:rsidR="00077E9E" w:rsidRPr="00077E9E" w:rsidRDefault="00077E9E" w:rsidP="00077E9E">
      <w:pPr>
        <w:pStyle w:val="NormalWeb"/>
        <w:shd w:val="clear" w:color="auto" w:fill="FFFFFF"/>
        <w:spacing w:before="0" w:beforeAutospacing="0" w:after="360" w:afterAutospacing="0" w:line="330" w:lineRule="atLeast"/>
        <w:rPr>
          <w:rFonts w:asciiTheme="minorHAnsi" w:hAnsiTheme="minorHAnsi" w:cstheme="minorHAnsi"/>
          <w:color w:val="333333"/>
          <w:sz w:val="22"/>
          <w:szCs w:val="22"/>
        </w:rPr>
      </w:pPr>
      <w:r w:rsidRPr="00077E9E">
        <w:rPr>
          <w:rFonts w:asciiTheme="minorHAnsi" w:hAnsiTheme="minorHAnsi" w:cstheme="minorHAnsi"/>
          <w:color w:val="333333"/>
          <w:sz w:val="22"/>
          <w:szCs w:val="22"/>
        </w:rPr>
        <w:t>Public universities rarely close. Rather, it is more common for financially stressed institutions to be merged with others within the state system to attain administrative efficiencies. Enrollment-dependent small private colleges, particularly those without strong endowments, will be most vulnerable. Prior to the pandemic, Moody’s estimated that one in five small colleges experience financial stress (</w:t>
      </w:r>
      <w:hyperlink r:id="rId19" w:tgtFrame="_blank" w:history="1">
        <w:r w:rsidRPr="00077E9E">
          <w:rPr>
            <w:rStyle w:val="Hyperlink"/>
            <w:rFonts w:asciiTheme="minorHAnsi" w:hAnsiTheme="minorHAnsi" w:cstheme="minorHAnsi"/>
            <w:b/>
            <w:bCs/>
            <w:sz w:val="22"/>
            <w:szCs w:val="22"/>
          </w:rPr>
          <w:t>https://bit.ly/3gYY5rY</w:t>
        </w:r>
      </w:hyperlink>
      <w:r w:rsidRPr="00077E9E">
        <w:rPr>
          <w:rFonts w:asciiTheme="minorHAnsi" w:hAnsiTheme="minorHAnsi" w:cstheme="minorHAnsi"/>
          <w:color w:val="333333"/>
          <w:sz w:val="22"/>
          <w:szCs w:val="22"/>
        </w:rPr>
        <w:t>).</w:t>
      </w:r>
    </w:p>
    <w:p w:rsidR="00077E9E" w:rsidRPr="00077E9E" w:rsidRDefault="00077E9E" w:rsidP="00077E9E">
      <w:pPr>
        <w:pStyle w:val="NormalWeb"/>
        <w:shd w:val="clear" w:color="auto" w:fill="FFFFFF"/>
        <w:spacing w:before="0" w:beforeAutospacing="0" w:after="360" w:afterAutospacing="0" w:line="330" w:lineRule="atLeast"/>
        <w:rPr>
          <w:rFonts w:asciiTheme="minorHAnsi" w:hAnsiTheme="minorHAnsi" w:cstheme="minorHAnsi"/>
          <w:color w:val="333333"/>
          <w:sz w:val="22"/>
          <w:szCs w:val="22"/>
        </w:rPr>
      </w:pPr>
      <w:r w:rsidRPr="00077E9E">
        <w:rPr>
          <w:rFonts w:asciiTheme="minorHAnsi" w:hAnsiTheme="minorHAnsi" w:cstheme="minorHAnsi"/>
          <w:color w:val="333333"/>
          <w:sz w:val="22"/>
          <w:szCs w:val="22"/>
        </w:rPr>
        <w:t>While the current crisis will likely push some of these to close or merge, the historical rate of closure is low (about 1% per year), often due to the inflow of alumni contributions in times of crisis. Matters will certainly become much worse if the COVID-19 pandemic is followed by a prolonged economic recession.</w:t>
      </w:r>
    </w:p>
    <w:p w:rsidR="00077E9E" w:rsidRPr="00077E9E" w:rsidRDefault="00077E9E" w:rsidP="00077E9E">
      <w:pPr>
        <w:pStyle w:val="NormalWeb"/>
        <w:shd w:val="clear" w:color="auto" w:fill="FFFFFF"/>
        <w:spacing w:before="0" w:beforeAutospacing="0" w:after="0" w:afterAutospacing="0" w:line="330" w:lineRule="atLeast"/>
        <w:rPr>
          <w:rFonts w:asciiTheme="minorHAnsi" w:hAnsiTheme="minorHAnsi" w:cstheme="minorHAnsi"/>
          <w:i/>
          <w:iCs/>
          <w:color w:val="A60000"/>
          <w:sz w:val="22"/>
          <w:szCs w:val="22"/>
        </w:rPr>
      </w:pPr>
      <w:r w:rsidRPr="00077E9E">
        <w:rPr>
          <w:rFonts w:asciiTheme="minorHAnsi" w:hAnsiTheme="minorHAnsi" w:cstheme="minorHAnsi"/>
          <w:i/>
          <w:iCs/>
          <w:color w:val="A60000"/>
          <w:sz w:val="22"/>
          <w:szCs w:val="22"/>
        </w:rPr>
        <w:t>Matters will certainly become much worse if the COVID-19 pandemic is followed by a prolonged economic recession.</w:t>
      </w:r>
    </w:p>
    <w:p w:rsidR="00077E9E" w:rsidRPr="00077E9E" w:rsidRDefault="00077E9E" w:rsidP="00077E9E">
      <w:pPr>
        <w:pStyle w:val="Heading3"/>
        <w:shd w:val="clear" w:color="auto" w:fill="FFFFFF"/>
        <w:spacing w:before="300" w:line="450" w:lineRule="atLeast"/>
        <w:rPr>
          <w:rFonts w:asciiTheme="minorHAnsi" w:hAnsiTheme="minorHAnsi" w:cstheme="minorHAnsi"/>
          <w:i/>
          <w:iCs/>
          <w:color w:val="4E4E4E"/>
        </w:rPr>
      </w:pPr>
      <w:r w:rsidRPr="00077E9E">
        <w:rPr>
          <w:rFonts w:asciiTheme="minorHAnsi" w:hAnsiTheme="minorHAnsi" w:cstheme="minorHAnsi"/>
          <w:i/>
          <w:iCs/>
          <w:color w:val="4E4E4E"/>
        </w:rPr>
        <w:t>Watching for the Cliff</w:t>
      </w:r>
    </w:p>
    <w:p w:rsidR="00077E9E" w:rsidRPr="00077E9E" w:rsidRDefault="00077E9E" w:rsidP="00077E9E">
      <w:pPr>
        <w:pStyle w:val="NormalWeb"/>
        <w:shd w:val="clear" w:color="auto" w:fill="FFFFFF"/>
        <w:spacing w:before="0" w:beforeAutospacing="0" w:after="360" w:afterAutospacing="0" w:line="330" w:lineRule="atLeast"/>
        <w:rPr>
          <w:rFonts w:asciiTheme="minorHAnsi" w:hAnsiTheme="minorHAnsi" w:cstheme="minorHAnsi"/>
          <w:color w:val="333333"/>
          <w:sz w:val="22"/>
          <w:szCs w:val="22"/>
        </w:rPr>
      </w:pPr>
      <w:r w:rsidRPr="00077E9E">
        <w:rPr>
          <w:rFonts w:asciiTheme="minorHAnsi" w:hAnsiTheme="minorHAnsi" w:cstheme="minorHAnsi"/>
          <w:color w:val="333333"/>
          <w:sz w:val="22"/>
          <w:szCs w:val="22"/>
        </w:rPr>
        <w:t xml:space="preserve">It is important for CPAs to understand the current conditions and near-term factors affecting U.S. colleges and universities. Faculty should understand the financial impact of competition and declining enrollments if they are to help their institutions prosper. Many more accountants serve on boards of </w:t>
      </w:r>
      <w:r w:rsidRPr="00077E9E">
        <w:rPr>
          <w:rFonts w:asciiTheme="minorHAnsi" w:hAnsiTheme="minorHAnsi" w:cstheme="minorHAnsi"/>
          <w:color w:val="333333"/>
          <w:sz w:val="22"/>
          <w:szCs w:val="22"/>
        </w:rPr>
        <w:lastRenderedPageBreak/>
        <w:t>universities, colleges of business, or accounting programs; they can be more effective in that advisory role if they understand the challenges facing the programs they support. Mega-universities, with their large enrollment of non-traditional students, may increasingly compete for the same students that traditional universities are seeking to attract. Although no one can predict the ultimate outcome of the global COVID-19 pandemic, it is clearly poised to have a significant impact on colleges and universities during the coming school year, and possibly much longer.</w:t>
      </w:r>
    </w:p>
    <w:p w:rsidR="00077E9E" w:rsidRPr="00077E9E" w:rsidRDefault="00077E9E" w:rsidP="00077E9E">
      <w:pPr>
        <w:pStyle w:val="NormalWeb"/>
        <w:shd w:val="clear" w:color="auto" w:fill="FFFFFF"/>
        <w:spacing w:before="0" w:beforeAutospacing="0" w:after="360" w:afterAutospacing="0" w:line="330" w:lineRule="atLeast"/>
        <w:rPr>
          <w:rFonts w:asciiTheme="minorHAnsi" w:hAnsiTheme="minorHAnsi" w:cstheme="minorHAnsi"/>
          <w:color w:val="333333"/>
          <w:sz w:val="22"/>
          <w:szCs w:val="22"/>
        </w:rPr>
      </w:pPr>
      <w:r w:rsidRPr="00077E9E">
        <w:rPr>
          <w:rFonts w:asciiTheme="minorHAnsi" w:hAnsiTheme="minorHAnsi" w:cstheme="minorHAnsi"/>
          <w:color w:val="333333"/>
          <w:sz w:val="22"/>
          <w:szCs w:val="22"/>
        </w:rPr>
        <w:t>College recruiting is the lifeblood of professional services firms. Accounting enrollments have declined in recent years, increasing the competition for qualified candidates. All factors suggest that this competition is likely to increase in the near term. Firms will be more effective if they plan for further reductions in the supply of accounting graduates and explore ways to reach candidates outside of their traditional sources.</w:t>
      </w:r>
    </w:p>
    <w:p w:rsidR="00077E9E" w:rsidRPr="00077E9E" w:rsidRDefault="00077E9E" w:rsidP="00077E9E">
      <w:pPr>
        <w:shd w:val="clear" w:color="auto" w:fill="FFFFFF"/>
        <w:rPr>
          <w:rFonts w:cstheme="minorHAnsi"/>
          <w:i/>
          <w:iCs/>
          <w:color w:val="333333"/>
        </w:rPr>
      </w:pPr>
      <w:r w:rsidRPr="00077E9E">
        <w:rPr>
          <w:rFonts w:cstheme="minorHAnsi"/>
          <w:i/>
          <w:iCs/>
          <w:color w:val="333333"/>
        </w:rPr>
        <w:t>Paul Copley, PhD, CPA, is the RSM Faculty Scholar in the James Madison University School of Accounting, Harrisonburg, Va.</w:t>
      </w:r>
    </w:p>
    <w:p w:rsidR="00077E9E" w:rsidRPr="00077E9E" w:rsidRDefault="00077E9E" w:rsidP="00077E9E">
      <w:pPr>
        <w:shd w:val="clear" w:color="auto" w:fill="FFFFFF"/>
        <w:rPr>
          <w:rFonts w:cstheme="minorHAnsi"/>
          <w:i/>
          <w:iCs/>
          <w:color w:val="333333"/>
        </w:rPr>
      </w:pPr>
      <w:r w:rsidRPr="00077E9E">
        <w:rPr>
          <w:rFonts w:cstheme="minorHAnsi"/>
          <w:i/>
          <w:iCs/>
          <w:color w:val="333333"/>
        </w:rPr>
        <w:t>Edward Douthett, PhD, CPA, holds the Northern Chapter of the Virginia Society of CPAs Professorship of Public Accounting at George Mason University, Fairfax, Va.</w:t>
      </w:r>
    </w:p>
    <w:p w:rsidR="00077E9E" w:rsidRPr="00077E9E" w:rsidRDefault="00077E9E" w:rsidP="00077E9E">
      <w:pPr>
        <w:shd w:val="clear" w:color="auto" w:fill="FFFFFF"/>
        <w:rPr>
          <w:rFonts w:cstheme="minorHAnsi"/>
          <w:color w:val="333333"/>
        </w:rPr>
      </w:pPr>
      <w:r w:rsidRPr="00077E9E">
        <w:rPr>
          <w:rStyle w:val="Strong"/>
          <w:rFonts w:cstheme="minorHAnsi"/>
          <w:color w:val="333333"/>
        </w:rPr>
        <w:t>TAGS: </w:t>
      </w:r>
      <w:hyperlink r:id="rId20" w:history="1">
        <w:r w:rsidRPr="00077E9E">
          <w:rPr>
            <w:rStyle w:val="Hyperlink"/>
            <w:rFonts w:cstheme="minorHAnsi"/>
            <w:color w:val="767676"/>
            <w:shd w:val="clear" w:color="auto" w:fill="FAFAFA"/>
          </w:rPr>
          <w:t>higher education</w:t>
        </w:r>
      </w:hyperlink>
      <w:r w:rsidRPr="00077E9E">
        <w:rPr>
          <w:rFonts w:cstheme="minorHAnsi"/>
          <w:color w:val="333333"/>
        </w:rPr>
        <w:t> </w:t>
      </w:r>
      <w:proofErr w:type="spellStart"/>
      <w:r w:rsidRPr="00077E9E">
        <w:rPr>
          <w:rFonts w:cstheme="minorHAnsi"/>
          <w:color w:val="333333"/>
        </w:rPr>
        <w:fldChar w:fldCharType="begin"/>
      </w:r>
      <w:r w:rsidRPr="00077E9E">
        <w:rPr>
          <w:rFonts w:cstheme="minorHAnsi"/>
          <w:color w:val="333333"/>
        </w:rPr>
        <w:instrText xml:space="preserve"> HYPERLINK "https://www.cpajournal.com/tag/education/" </w:instrText>
      </w:r>
      <w:r w:rsidRPr="00077E9E">
        <w:rPr>
          <w:rFonts w:cstheme="minorHAnsi"/>
          <w:color w:val="333333"/>
        </w:rPr>
        <w:fldChar w:fldCharType="separate"/>
      </w:r>
      <w:r w:rsidRPr="00077E9E">
        <w:rPr>
          <w:rStyle w:val="Hyperlink"/>
          <w:rFonts w:cstheme="minorHAnsi"/>
          <w:color w:val="767676"/>
          <w:shd w:val="clear" w:color="auto" w:fill="FAFAFA"/>
        </w:rPr>
        <w:t>education</w:t>
      </w:r>
      <w:proofErr w:type="spellEnd"/>
      <w:r w:rsidRPr="00077E9E">
        <w:rPr>
          <w:rFonts w:cstheme="minorHAnsi"/>
          <w:color w:val="333333"/>
        </w:rPr>
        <w:fldChar w:fldCharType="end"/>
      </w:r>
      <w:r w:rsidRPr="00077E9E">
        <w:rPr>
          <w:rFonts w:cstheme="minorHAnsi"/>
          <w:color w:val="333333"/>
        </w:rPr>
        <w:t> </w:t>
      </w:r>
      <w:hyperlink r:id="rId21" w:history="1">
        <w:r w:rsidRPr="00077E9E">
          <w:rPr>
            <w:rStyle w:val="Hyperlink"/>
            <w:rFonts w:cstheme="minorHAnsi"/>
            <w:color w:val="767676"/>
            <w:shd w:val="clear" w:color="auto" w:fill="FAFAFA"/>
          </w:rPr>
          <w:t>accounting academy</w:t>
        </w:r>
      </w:hyperlink>
    </w:p>
    <w:p w:rsidR="00077E9E" w:rsidRPr="00077E9E" w:rsidRDefault="00077E9E" w:rsidP="00077E9E">
      <w:pPr>
        <w:pStyle w:val="Heading4"/>
        <w:shd w:val="clear" w:color="auto" w:fill="FFFFFF"/>
        <w:spacing w:before="150" w:after="150" w:line="420" w:lineRule="atLeast"/>
        <w:rPr>
          <w:rFonts w:asciiTheme="minorHAnsi" w:hAnsiTheme="minorHAnsi" w:cstheme="minorHAnsi"/>
          <w:color w:val="333333"/>
        </w:rPr>
      </w:pPr>
    </w:p>
    <w:p w:rsidR="00077E9E" w:rsidRPr="00077E9E" w:rsidRDefault="00077E9E" w:rsidP="00077E9E">
      <w:pPr>
        <w:pStyle w:val="Heading4"/>
        <w:shd w:val="clear" w:color="auto" w:fill="FFFFFF"/>
        <w:spacing w:before="150" w:after="150" w:line="420" w:lineRule="atLeast"/>
        <w:rPr>
          <w:rFonts w:asciiTheme="minorHAnsi" w:hAnsiTheme="minorHAnsi" w:cstheme="minorHAnsi"/>
          <w:color w:val="333333"/>
        </w:rPr>
      </w:pPr>
    </w:p>
    <w:p w:rsidR="00077E9E" w:rsidRPr="00077E9E" w:rsidRDefault="00077E9E" w:rsidP="00077E9E">
      <w:pPr>
        <w:pStyle w:val="Heading4"/>
        <w:shd w:val="clear" w:color="auto" w:fill="FFFFFF"/>
        <w:spacing w:before="150" w:after="150" w:line="420" w:lineRule="atLeast"/>
        <w:rPr>
          <w:rFonts w:asciiTheme="minorHAnsi" w:hAnsiTheme="minorHAnsi" w:cstheme="minorHAnsi"/>
          <w:color w:val="333333"/>
        </w:rPr>
      </w:pPr>
    </w:p>
    <w:p w:rsidR="00077E9E" w:rsidRPr="00077E9E" w:rsidRDefault="00077E9E" w:rsidP="00077E9E">
      <w:pPr>
        <w:pStyle w:val="Heading4"/>
        <w:shd w:val="clear" w:color="auto" w:fill="FFFFFF"/>
        <w:spacing w:before="150" w:after="150" w:line="420" w:lineRule="atLeast"/>
        <w:rPr>
          <w:rFonts w:asciiTheme="minorHAnsi" w:hAnsiTheme="minorHAnsi" w:cstheme="minorHAnsi"/>
          <w:color w:val="333333"/>
        </w:rPr>
      </w:pPr>
    </w:p>
    <w:p w:rsidR="00077E9E" w:rsidRPr="00077E9E" w:rsidRDefault="00077E9E" w:rsidP="00077E9E">
      <w:pPr>
        <w:pStyle w:val="Heading4"/>
        <w:shd w:val="clear" w:color="auto" w:fill="FFFFFF"/>
        <w:spacing w:before="150" w:after="150" w:line="420" w:lineRule="atLeast"/>
        <w:rPr>
          <w:rFonts w:asciiTheme="minorHAnsi" w:hAnsiTheme="minorHAnsi" w:cstheme="minorHAnsi"/>
          <w:color w:val="333333"/>
        </w:rPr>
      </w:pPr>
    </w:p>
    <w:p w:rsidR="00077E9E" w:rsidRPr="00077E9E" w:rsidRDefault="00077E9E" w:rsidP="00077E9E">
      <w:pPr>
        <w:pStyle w:val="Heading4"/>
        <w:shd w:val="clear" w:color="auto" w:fill="FFFFFF"/>
        <w:spacing w:before="150" w:after="150" w:line="420" w:lineRule="atLeast"/>
        <w:rPr>
          <w:rFonts w:asciiTheme="minorHAnsi" w:hAnsiTheme="minorHAnsi" w:cstheme="minorHAnsi"/>
          <w:color w:val="333333"/>
        </w:rPr>
      </w:pPr>
    </w:p>
    <w:p w:rsidR="00077E9E" w:rsidRPr="00077E9E" w:rsidRDefault="00077E9E" w:rsidP="00077E9E">
      <w:pPr>
        <w:pStyle w:val="Heading4"/>
        <w:shd w:val="clear" w:color="auto" w:fill="FFFFFF"/>
        <w:spacing w:before="150" w:after="150" w:line="420" w:lineRule="atLeast"/>
        <w:rPr>
          <w:rFonts w:asciiTheme="minorHAnsi" w:hAnsiTheme="minorHAnsi" w:cstheme="minorHAnsi"/>
          <w:color w:val="333333"/>
        </w:rPr>
      </w:pPr>
    </w:p>
    <w:p w:rsidR="00077E9E" w:rsidRPr="00077E9E" w:rsidRDefault="00077E9E" w:rsidP="00077E9E">
      <w:pPr>
        <w:pStyle w:val="Heading4"/>
        <w:shd w:val="clear" w:color="auto" w:fill="FFFFFF"/>
        <w:spacing w:before="150" w:after="150" w:line="420" w:lineRule="atLeast"/>
        <w:rPr>
          <w:rFonts w:asciiTheme="minorHAnsi" w:hAnsiTheme="minorHAnsi" w:cstheme="minorHAnsi"/>
          <w:color w:val="333333"/>
        </w:rPr>
      </w:pPr>
    </w:p>
    <w:p w:rsidR="00077E9E" w:rsidRPr="00077E9E" w:rsidRDefault="00077E9E" w:rsidP="00077E9E">
      <w:pPr>
        <w:pStyle w:val="Heading4"/>
        <w:shd w:val="clear" w:color="auto" w:fill="FFFFFF"/>
        <w:spacing w:before="150" w:after="150" w:line="420" w:lineRule="atLeast"/>
        <w:rPr>
          <w:rFonts w:asciiTheme="minorHAnsi" w:hAnsiTheme="minorHAnsi" w:cstheme="minorHAnsi"/>
          <w:color w:val="333333"/>
        </w:rPr>
      </w:pPr>
    </w:p>
    <w:sectPr w:rsidR="00077E9E" w:rsidRPr="00077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oppi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909"/>
    <w:rsid w:val="00077E9E"/>
    <w:rsid w:val="000A27F5"/>
    <w:rsid w:val="007F102C"/>
    <w:rsid w:val="00AC1BB6"/>
    <w:rsid w:val="00B62460"/>
    <w:rsid w:val="00BE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49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77E9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77E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909"/>
    <w:rPr>
      <w:rFonts w:ascii="Times New Roman" w:eastAsia="Times New Roman" w:hAnsi="Times New Roman" w:cs="Times New Roman"/>
      <w:b/>
      <w:bCs/>
      <w:kern w:val="36"/>
      <w:sz w:val="48"/>
      <w:szCs w:val="48"/>
    </w:rPr>
  </w:style>
  <w:style w:type="paragraph" w:styleId="NoSpacing">
    <w:name w:val="No Spacing"/>
    <w:uiPriority w:val="1"/>
    <w:qFormat/>
    <w:rsid w:val="00BE4909"/>
    <w:pPr>
      <w:spacing w:after="0" w:line="240" w:lineRule="auto"/>
    </w:pPr>
  </w:style>
  <w:style w:type="character" w:styleId="Hyperlink">
    <w:name w:val="Hyperlink"/>
    <w:basedOn w:val="DefaultParagraphFont"/>
    <w:uiPriority w:val="99"/>
    <w:unhideWhenUsed/>
    <w:rsid w:val="00077E9E"/>
    <w:rPr>
      <w:color w:val="0000FF" w:themeColor="hyperlink"/>
      <w:u w:val="single"/>
    </w:rPr>
  </w:style>
  <w:style w:type="character" w:customStyle="1" w:styleId="Heading3Char">
    <w:name w:val="Heading 3 Char"/>
    <w:basedOn w:val="DefaultParagraphFont"/>
    <w:link w:val="Heading3"/>
    <w:uiPriority w:val="9"/>
    <w:semiHidden/>
    <w:rsid w:val="00077E9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77E9E"/>
    <w:rPr>
      <w:rFonts w:asciiTheme="majorHAnsi" w:eastAsiaTheme="majorEastAsia" w:hAnsiTheme="majorHAnsi" w:cstheme="majorBidi"/>
      <w:b/>
      <w:bCs/>
      <w:i/>
      <w:iCs/>
      <w:color w:val="4F81BD" w:themeColor="accent1"/>
    </w:rPr>
  </w:style>
  <w:style w:type="character" w:customStyle="1" w:styleId="sep">
    <w:name w:val="sep"/>
    <w:basedOn w:val="DefaultParagraphFont"/>
    <w:rsid w:val="00077E9E"/>
  </w:style>
  <w:style w:type="paragraph" w:styleId="NormalWeb">
    <w:name w:val="Normal (Web)"/>
    <w:basedOn w:val="Normal"/>
    <w:uiPriority w:val="99"/>
    <w:unhideWhenUsed/>
    <w:rsid w:val="00077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s">
    <w:name w:val="authors"/>
    <w:basedOn w:val="Normal"/>
    <w:rsid w:val="00077E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7E9E"/>
    <w:rPr>
      <w:i/>
      <w:iCs/>
    </w:rPr>
  </w:style>
  <w:style w:type="character" w:styleId="Strong">
    <w:name w:val="Strong"/>
    <w:basedOn w:val="DefaultParagraphFont"/>
    <w:uiPriority w:val="22"/>
    <w:qFormat/>
    <w:rsid w:val="00077E9E"/>
    <w:rPr>
      <w:b/>
      <w:bCs/>
    </w:rPr>
  </w:style>
  <w:style w:type="paragraph" w:styleId="BalloonText">
    <w:name w:val="Balloon Text"/>
    <w:basedOn w:val="Normal"/>
    <w:link w:val="BalloonTextChar"/>
    <w:uiPriority w:val="99"/>
    <w:semiHidden/>
    <w:unhideWhenUsed/>
    <w:rsid w:val="00077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E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49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77E9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77E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909"/>
    <w:rPr>
      <w:rFonts w:ascii="Times New Roman" w:eastAsia="Times New Roman" w:hAnsi="Times New Roman" w:cs="Times New Roman"/>
      <w:b/>
      <w:bCs/>
      <w:kern w:val="36"/>
      <w:sz w:val="48"/>
      <w:szCs w:val="48"/>
    </w:rPr>
  </w:style>
  <w:style w:type="paragraph" w:styleId="NoSpacing">
    <w:name w:val="No Spacing"/>
    <w:uiPriority w:val="1"/>
    <w:qFormat/>
    <w:rsid w:val="00BE4909"/>
    <w:pPr>
      <w:spacing w:after="0" w:line="240" w:lineRule="auto"/>
    </w:pPr>
  </w:style>
  <w:style w:type="character" w:styleId="Hyperlink">
    <w:name w:val="Hyperlink"/>
    <w:basedOn w:val="DefaultParagraphFont"/>
    <w:uiPriority w:val="99"/>
    <w:unhideWhenUsed/>
    <w:rsid w:val="00077E9E"/>
    <w:rPr>
      <w:color w:val="0000FF" w:themeColor="hyperlink"/>
      <w:u w:val="single"/>
    </w:rPr>
  </w:style>
  <w:style w:type="character" w:customStyle="1" w:styleId="Heading3Char">
    <w:name w:val="Heading 3 Char"/>
    <w:basedOn w:val="DefaultParagraphFont"/>
    <w:link w:val="Heading3"/>
    <w:uiPriority w:val="9"/>
    <w:semiHidden/>
    <w:rsid w:val="00077E9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77E9E"/>
    <w:rPr>
      <w:rFonts w:asciiTheme="majorHAnsi" w:eastAsiaTheme="majorEastAsia" w:hAnsiTheme="majorHAnsi" w:cstheme="majorBidi"/>
      <w:b/>
      <w:bCs/>
      <w:i/>
      <w:iCs/>
      <w:color w:val="4F81BD" w:themeColor="accent1"/>
    </w:rPr>
  </w:style>
  <w:style w:type="character" w:customStyle="1" w:styleId="sep">
    <w:name w:val="sep"/>
    <w:basedOn w:val="DefaultParagraphFont"/>
    <w:rsid w:val="00077E9E"/>
  </w:style>
  <w:style w:type="paragraph" w:styleId="NormalWeb">
    <w:name w:val="Normal (Web)"/>
    <w:basedOn w:val="Normal"/>
    <w:uiPriority w:val="99"/>
    <w:unhideWhenUsed/>
    <w:rsid w:val="00077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s">
    <w:name w:val="authors"/>
    <w:basedOn w:val="Normal"/>
    <w:rsid w:val="00077E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7E9E"/>
    <w:rPr>
      <w:i/>
      <w:iCs/>
    </w:rPr>
  </w:style>
  <w:style w:type="character" w:styleId="Strong">
    <w:name w:val="Strong"/>
    <w:basedOn w:val="DefaultParagraphFont"/>
    <w:uiPriority w:val="22"/>
    <w:qFormat/>
    <w:rsid w:val="00077E9E"/>
    <w:rPr>
      <w:b/>
      <w:bCs/>
    </w:rPr>
  </w:style>
  <w:style w:type="paragraph" w:styleId="BalloonText">
    <w:name w:val="Balloon Text"/>
    <w:basedOn w:val="Normal"/>
    <w:link w:val="BalloonTextChar"/>
    <w:uiPriority w:val="99"/>
    <w:semiHidden/>
    <w:unhideWhenUsed/>
    <w:rsid w:val="00077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E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4368">
      <w:bodyDiv w:val="1"/>
      <w:marLeft w:val="0"/>
      <w:marRight w:val="0"/>
      <w:marTop w:val="0"/>
      <w:marBottom w:val="0"/>
      <w:divBdr>
        <w:top w:val="none" w:sz="0" w:space="0" w:color="auto"/>
        <w:left w:val="none" w:sz="0" w:space="0" w:color="auto"/>
        <w:bottom w:val="none" w:sz="0" w:space="0" w:color="auto"/>
        <w:right w:val="none" w:sz="0" w:space="0" w:color="auto"/>
      </w:divBdr>
      <w:divsChild>
        <w:div w:id="750270325">
          <w:marLeft w:val="-225"/>
          <w:marRight w:val="-225"/>
          <w:marTop w:val="0"/>
          <w:marBottom w:val="0"/>
          <w:divBdr>
            <w:top w:val="none" w:sz="0" w:space="0" w:color="auto"/>
            <w:left w:val="none" w:sz="0" w:space="0" w:color="auto"/>
            <w:bottom w:val="none" w:sz="0" w:space="0" w:color="auto"/>
            <w:right w:val="none" w:sz="0" w:space="0" w:color="auto"/>
          </w:divBdr>
          <w:divsChild>
            <w:div w:id="173764664">
              <w:marLeft w:val="0"/>
              <w:marRight w:val="0"/>
              <w:marTop w:val="0"/>
              <w:marBottom w:val="0"/>
              <w:divBdr>
                <w:top w:val="none" w:sz="0" w:space="0" w:color="auto"/>
                <w:left w:val="none" w:sz="0" w:space="0" w:color="auto"/>
                <w:bottom w:val="none" w:sz="0" w:space="0" w:color="auto"/>
                <w:right w:val="none" w:sz="0" w:space="0" w:color="auto"/>
              </w:divBdr>
              <w:divsChild>
                <w:div w:id="2057076439">
                  <w:marLeft w:val="0"/>
                  <w:marRight w:val="0"/>
                  <w:marTop w:val="0"/>
                  <w:marBottom w:val="0"/>
                  <w:divBdr>
                    <w:top w:val="none" w:sz="0" w:space="0" w:color="auto"/>
                    <w:left w:val="none" w:sz="0" w:space="0" w:color="auto"/>
                    <w:bottom w:val="none" w:sz="0" w:space="0" w:color="auto"/>
                    <w:right w:val="none" w:sz="0" w:space="0" w:color="auto"/>
                  </w:divBdr>
                </w:div>
                <w:div w:id="1907958590">
                  <w:marLeft w:val="0"/>
                  <w:marRight w:val="0"/>
                  <w:marTop w:val="0"/>
                  <w:marBottom w:val="0"/>
                  <w:divBdr>
                    <w:top w:val="none" w:sz="0" w:space="0" w:color="auto"/>
                    <w:left w:val="none" w:sz="0" w:space="0" w:color="auto"/>
                    <w:bottom w:val="none" w:sz="0" w:space="0" w:color="auto"/>
                    <w:right w:val="none" w:sz="0" w:space="0" w:color="auto"/>
                  </w:divBdr>
                  <w:divsChild>
                    <w:div w:id="2018771407">
                      <w:marLeft w:val="0"/>
                      <w:marRight w:val="0"/>
                      <w:marTop w:val="0"/>
                      <w:marBottom w:val="0"/>
                      <w:divBdr>
                        <w:top w:val="none" w:sz="0" w:space="0" w:color="auto"/>
                        <w:left w:val="none" w:sz="0" w:space="0" w:color="auto"/>
                        <w:bottom w:val="none" w:sz="0" w:space="0" w:color="auto"/>
                        <w:right w:val="none" w:sz="0" w:space="0" w:color="auto"/>
                      </w:divBdr>
                      <w:divsChild>
                        <w:div w:id="467207428">
                          <w:marLeft w:val="0"/>
                          <w:marRight w:val="0"/>
                          <w:marTop w:val="0"/>
                          <w:marBottom w:val="450"/>
                          <w:divBdr>
                            <w:top w:val="none" w:sz="0" w:space="0" w:color="auto"/>
                            <w:left w:val="none" w:sz="0" w:space="0" w:color="auto"/>
                            <w:bottom w:val="none" w:sz="0" w:space="0" w:color="auto"/>
                            <w:right w:val="none" w:sz="0" w:space="0" w:color="auto"/>
                          </w:divBdr>
                        </w:div>
                      </w:divsChild>
                    </w:div>
                    <w:div w:id="1612012528">
                      <w:marLeft w:val="0"/>
                      <w:marRight w:val="0"/>
                      <w:marTop w:val="0"/>
                      <w:marBottom w:val="0"/>
                      <w:divBdr>
                        <w:top w:val="none" w:sz="0" w:space="0" w:color="auto"/>
                        <w:left w:val="none" w:sz="0" w:space="0" w:color="auto"/>
                        <w:bottom w:val="none" w:sz="0" w:space="0" w:color="auto"/>
                        <w:right w:val="none" w:sz="0" w:space="0" w:color="auto"/>
                      </w:divBdr>
                    </w:div>
                    <w:div w:id="631524507">
                      <w:marLeft w:val="0"/>
                      <w:marRight w:val="0"/>
                      <w:marTop w:val="0"/>
                      <w:marBottom w:val="0"/>
                      <w:divBdr>
                        <w:top w:val="none" w:sz="0" w:space="0" w:color="auto"/>
                        <w:left w:val="none" w:sz="0" w:space="0" w:color="auto"/>
                        <w:bottom w:val="none" w:sz="0" w:space="0" w:color="auto"/>
                        <w:right w:val="none" w:sz="0" w:space="0" w:color="auto"/>
                      </w:divBdr>
                      <w:divsChild>
                        <w:div w:id="527916003">
                          <w:marLeft w:val="0"/>
                          <w:marRight w:val="0"/>
                          <w:marTop w:val="0"/>
                          <w:marBottom w:val="0"/>
                          <w:divBdr>
                            <w:top w:val="none" w:sz="0" w:space="0" w:color="auto"/>
                            <w:left w:val="none" w:sz="0" w:space="0" w:color="auto"/>
                            <w:bottom w:val="none" w:sz="0" w:space="0" w:color="auto"/>
                            <w:right w:val="none" w:sz="0" w:space="0" w:color="auto"/>
                          </w:divBdr>
                        </w:div>
                        <w:div w:id="1046829425">
                          <w:marLeft w:val="0"/>
                          <w:marRight w:val="0"/>
                          <w:marTop w:val="0"/>
                          <w:marBottom w:val="0"/>
                          <w:divBdr>
                            <w:top w:val="none" w:sz="0" w:space="0" w:color="auto"/>
                            <w:left w:val="none" w:sz="0" w:space="0" w:color="auto"/>
                            <w:bottom w:val="none" w:sz="0" w:space="0" w:color="auto"/>
                            <w:right w:val="none" w:sz="0" w:space="0" w:color="auto"/>
                          </w:divBdr>
                          <w:divsChild>
                            <w:div w:id="627782564">
                              <w:marLeft w:val="0"/>
                              <w:marRight w:val="0"/>
                              <w:marTop w:val="300"/>
                              <w:marBottom w:val="300"/>
                              <w:divBdr>
                                <w:top w:val="single" w:sz="6" w:space="15" w:color="auto"/>
                                <w:left w:val="single" w:sz="6" w:space="15" w:color="auto"/>
                                <w:bottom w:val="single" w:sz="6" w:space="15" w:color="auto"/>
                                <w:right w:val="single" w:sz="6" w:space="15" w:color="auto"/>
                              </w:divBdr>
                            </w:div>
                            <w:div w:id="391269770">
                              <w:marLeft w:val="0"/>
                              <w:marRight w:val="0"/>
                              <w:marTop w:val="300"/>
                              <w:marBottom w:val="300"/>
                              <w:divBdr>
                                <w:top w:val="single" w:sz="6" w:space="15" w:color="auto"/>
                                <w:left w:val="single" w:sz="6" w:space="15" w:color="auto"/>
                                <w:bottom w:val="single" w:sz="6" w:space="15" w:color="auto"/>
                                <w:right w:val="single" w:sz="6" w:space="15" w:color="auto"/>
                              </w:divBdr>
                              <w:divsChild>
                                <w:div w:id="1027683135">
                                  <w:marLeft w:val="0"/>
                                  <w:marRight w:val="0"/>
                                  <w:marTop w:val="0"/>
                                  <w:marBottom w:val="0"/>
                                  <w:divBdr>
                                    <w:top w:val="none" w:sz="0" w:space="0" w:color="auto"/>
                                    <w:left w:val="none" w:sz="0" w:space="0" w:color="auto"/>
                                    <w:bottom w:val="none" w:sz="0" w:space="0" w:color="auto"/>
                                    <w:right w:val="none" w:sz="0" w:space="0" w:color="auto"/>
                                  </w:divBdr>
                                </w:div>
                              </w:divsChild>
                            </w:div>
                            <w:div w:id="1145587545">
                              <w:marLeft w:val="0"/>
                              <w:marRight w:val="0"/>
                              <w:marTop w:val="360"/>
                              <w:marBottom w:val="360"/>
                              <w:divBdr>
                                <w:top w:val="single" w:sz="6" w:space="8" w:color="000000"/>
                                <w:left w:val="none" w:sz="0" w:space="0" w:color="auto"/>
                                <w:bottom w:val="single" w:sz="6" w:space="8" w:color="000000"/>
                                <w:right w:val="none" w:sz="0" w:space="0" w:color="auto"/>
                              </w:divBdr>
                            </w:div>
                          </w:divsChild>
                        </w:div>
                        <w:div w:id="1658457457">
                          <w:marLeft w:val="0"/>
                          <w:marRight w:val="0"/>
                          <w:marTop w:val="0"/>
                          <w:marBottom w:val="0"/>
                          <w:divBdr>
                            <w:top w:val="none" w:sz="0" w:space="0" w:color="auto"/>
                            <w:left w:val="none" w:sz="0" w:space="0" w:color="auto"/>
                            <w:bottom w:val="none" w:sz="0" w:space="0" w:color="auto"/>
                            <w:right w:val="none" w:sz="0" w:space="0" w:color="auto"/>
                          </w:divBdr>
                          <w:divsChild>
                            <w:div w:id="1514416865">
                              <w:marLeft w:val="0"/>
                              <w:marRight w:val="0"/>
                              <w:marTop w:val="360"/>
                              <w:marBottom w:val="360"/>
                              <w:divBdr>
                                <w:top w:val="single" w:sz="6" w:space="8" w:color="000000"/>
                                <w:left w:val="none" w:sz="0" w:space="0" w:color="auto"/>
                                <w:bottom w:val="single" w:sz="6" w:space="8" w:color="000000"/>
                                <w:right w:val="none" w:sz="0" w:space="0" w:color="auto"/>
                              </w:divBdr>
                            </w:div>
                            <w:div w:id="366680713">
                              <w:marLeft w:val="0"/>
                              <w:marRight w:val="0"/>
                              <w:marTop w:val="0"/>
                              <w:marBottom w:val="0"/>
                              <w:divBdr>
                                <w:top w:val="none" w:sz="0" w:space="0" w:color="auto"/>
                                <w:left w:val="none" w:sz="0" w:space="0" w:color="auto"/>
                                <w:bottom w:val="none" w:sz="0" w:space="0" w:color="auto"/>
                                <w:right w:val="none" w:sz="0" w:space="0" w:color="auto"/>
                              </w:divBdr>
                              <w:divsChild>
                                <w:div w:id="503128367">
                                  <w:marLeft w:val="0"/>
                                  <w:marRight w:val="0"/>
                                  <w:marTop w:val="360"/>
                                  <w:marBottom w:val="360"/>
                                  <w:divBdr>
                                    <w:top w:val="single" w:sz="6" w:space="8" w:color="000000"/>
                                    <w:left w:val="none" w:sz="0" w:space="0" w:color="auto"/>
                                    <w:bottom w:val="single" w:sz="6" w:space="8" w:color="000000"/>
                                    <w:right w:val="none" w:sz="0" w:space="0" w:color="auto"/>
                                  </w:divBdr>
                                </w:div>
                              </w:divsChild>
                            </w:div>
                            <w:div w:id="998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6138">
                      <w:marLeft w:val="0"/>
                      <w:marRight w:val="0"/>
                      <w:marTop w:val="0"/>
                      <w:marBottom w:val="0"/>
                      <w:divBdr>
                        <w:top w:val="none" w:sz="0" w:space="0" w:color="auto"/>
                        <w:left w:val="none" w:sz="0" w:space="0" w:color="auto"/>
                        <w:bottom w:val="none" w:sz="0" w:space="0" w:color="auto"/>
                        <w:right w:val="none" w:sz="0" w:space="0" w:color="auto"/>
                      </w:divBdr>
                      <w:divsChild>
                        <w:div w:id="1410882080">
                          <w:marLeft w:val="0"/>
                          <w:marRight w:val="0"/>
                          <w:marTop w:val="0"/>
                          <w:marBottom w:val="0"/>
                          <w:divBdr>
                            <w:top w:val="single" w:sz="6" w:space="8" w:color="auto"/>
                            <w:left w:val="none" w:sz="0" w:space="0" w:color="auto"/>
                            <w:bottom w:val="none" w:sz="0" w:space="0" w:color="auto"/>
                            <w:right w:val="none" w:sz="0" w:space="0" w:color="auto"/>
                          </w:divBdr>
                          <w:divsChild>
                            <w:div w:id="1690132784">
                              <w:marLeft w:val="0"/>
                              <w:marRight w:val="0"/>
                              <w:marTop w:val="0"/>
                              <w:marBottom w:val="0"/>
                              <w:divBdr>
                                <w:top w:val="none" w:sz="0" w:space="0" w:color="auto"/>
                                <w:left w:val="none" w:sz="0" w:space="0" w:color="auto"/>
                                <w:bottom w:val="none" w:sz="0" w:space="0" w:color="auto"/>
                                <w:right w:val="none" w:sz="0" w:space="0" w:color="auto"/>
                              </w:divBdr>
                            </w:div>
                            <w:div w:id="3281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9761">
                      <w:marLeft w:val="-225"/>
                      <w:marRight w:val="-225"/>
                      <w:marTop w:val="0"/>
                      <w:marBottom w:val="0"/>
                      <w:divBdr>
                        <w:top w:val="none" w:sz="0" w:space="0" w:color="auto"/>
                        <w:left w:val="none" w:sz="0" w:space="0" w:color="auto"/>
                        <w:bottom w:val="none" w:sz="0" w:space="0" w:color="auto"/>
                        <w:right w:val="none" w:sz="0" w:space="0" w:color="auto"/>
                      </w:divBdr>
                      <w:divsChild>
                        <w:div w:id="1112940714">
                          <w:marLeft w:val="0"/>
                          <w:marRight w:val="0"/>
                          <w:marTop w:val="0"/>
                          <w:marBottom w:val="0"/>
                          <w:divBdr>
                            <w:top w:val="single" w:sz="6" w:space="4" w:color="E1E1E1"/>
                            <w:left w:val="single" w:sz="6" w:space="8" w:color="E1E1E1"/>
                            <w:bottom w:val="single" w:sz="6" w:space="4" w:color="E1E1E1"/>
                            <w:right w:val="single" w:sz="6" w:space="8" w:color="E1E1E1"/>
                          </w:divBdr>
                        </w:div>
                        <w:div w:id="1604800145">
                          <w:marLeft w:val="0"/>
                          <w:marRight w:val="0"/>
                          <w:marTop w:val="0"/>
                          <w:marBottom w:val="0"/>
                          <w:divBdr>
                            <w:top w:val="none" w:sz="0" w:space="0" w:color="auto"/>
                            <w:left w:val="none" w:sz="0" w:space="0" w:color="auto"/>
                            <w:bottom w:val="none" w:sz="0" w:space="0" w:color="auto"/>
                            <w:right w:val="none" w:sz="0" w:space="0" w:color="auto"/>
                          </w:divBdr>
                          <w:divsChild>
                            <w:div w:id="535197650">
                              <w:marLeft w:val="0"/>
                              <w:marRight w:val="0"/>
                              <w:marTop w:val="0"/>
                              <w:marBottom w:val="0"/>
                              <w:divBdr>
                                <w:top w:val="single" w:sz="6" w:space="4" w:color="E1E1E1"/>
                                <w:left w:val="single" w:sz="6" w:space="8" w:color="E1E1E1"/>
                                <w:bottom w:val="single" w:sz="6" w:space="4" w:color="E1E1E1"/>
                                <w:right w:val="single" w:sz="6" w:space="8" w:color="E1E1E1"/>
                              </w:divBdr>
                            </w:div>
                          </w:divsChild>
                        </w:div>
                      </w:divsChild>
                    </w:div>
                  </w:divsChild>
                </w:div>
              </w:divsChild>
            </w:div>
          </w:divsChild>
        </w:div>
        <w:div w:id="99879023">
          <w:marLeft w:val="-225"/>
          <w:marRight w:val="-225"/>
          <w:marTop w:val="0"/>
          <w:marBottom w:val="0"/>
          <w:divBdr>
            <w:top w:val="none" w:sz="0" w:space="0" w:color="auto"/>
            <w:left w:val="none" w:sz="0" w:space="0" w:color="auto"/>
            <w:bottom w:val="none" w:sz="0" w:space="0" w:color="auto"/>
            <w:right w:val="none" w:sz="0" w:space="0" w:color="auto"/>
          </w:divBdr>
          <w:divsChild>
            <w:div w:id="1616987838">
              <w:marLeft w:val="0"/>
              <w:marRight w:val="0"/>
              <w:marTop w:val="0"/>
              <w:marBottom w:val="0"/>
              <w:divBdr>
                <w:top w:val="none" w:sz="0" w:space="0" w:color="auto"/>
                <w:left w:val="none" w:sz="0" w:space="0" w:color="auto"/>
                <w:bottom w:val="none" w:sz="0" w:space="0" w:color="auto"/>
                <w:right w:val="none" w:sz="0" w:space="0" w:color="auto"/>
              </w:divBdr>
              <w:divsChild>
                <w:div w:id="1657297011">
                  <w:marLeft w:val="0"/>
                  <w:marRight w:val="0"/>
                  <w:marTop w:val="0"/>
                  <w:marBottom w:val="0"/>
                  <w:divBdr>
                    <w:top w:val="none" w:sz="0" w:space="0" w:color="auto"/>
                    <w:left w:val="none" w:sz="0" w:space="0" w:color="auto"/>
                    <w:bottom w:val="none" w:sz="0" w:space="0" w:color="auto"/>
                    <w:right w:val="none" w:sz="0" w:space="0" w:color="auto"/>
                  </w:divBdr>
                  <w:divsChild>
                    <w:div w:id="55104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99597">
      <w:bodyDiv w:val="1"/>
      <w:marLeft w:val="0"/>
      <w:marRight w:val="0"/>
      <w:marTop w:val="0"/>
      <w:marBottom w:val="0"/>
      <w:divBdr>
        <w:top w:val="none" w:sz="0" w:space="0" w:color="auto"/>
        <w:left w:val="none" w:sz="0" w:space="0" w:color="auto"/>
        <w:bottom w:val="none" w:sz="0" w:space="0" w:color="auto"/>
        <w:right w:val="none" w:sz="0" w:space="0" w:color="auto"/>
      </w:divBdr>
      <w:divsChild>
        <w:div w:id="1958441722">
          <w:marLeft w:val="0"/>
          <w:marRight w:val="0"/>
          <w:marTop w:val="0"/>
          <w:marBottom w:val="0"/>
          <w:divBdr>
            <w:top w:val="none" w:sz="0" w:space="0" w:color="auto"/>
            <w:left w:val="none" w:sz="0" w:space="0" w:color="auto"/>
            <w:bottom w:val="none" w:sz="0" w:space="0" w:color="auto"/>
            <w:right w:val="none" w:sz="0" w:space="0" w:color="auto"/>
          </w:divBdr>
        </w:div>
      </w:divsChild>
    </w:div>
    <w:div w:id="50458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ajournal.com/category/featured/" TargetMode="External"/><Relationship Id="rId13" Type="http://schemas.openxmlformats.org/officeDocument/2006/relationships/hyperlink" Target="https://bit.ly/2DLB5hD" TargetMode="External"/><Relationship Id="rId18" Type="http://schemas.openxmlformats.org/officeDocument/2006/relationships/hyperlink" Target="https://bit.ly/2DPIUCO" TargetMode="External"/><Relationship Id="rId3" Type="http://schemas.openxmlformats.org/officeDocument/2006/relationships/settings" Target="settings.xml"/><Relationship Id="rId21" Type="http://schemas.openxmlformats.org/officeDocument/2006/relationships/hyperlink" Target="https://www.cpajournal.com/tag/accounting-academy/" TargetMode="External"/><Relationship Id="rId7" Type="http://schemas.openxmlformats.org/officeDocument/2006/relationships/hyperlink" Target="https://www.cpajournal.com/author/edouthett/" TargetMode="External"/><Relationship Id="rId12" Type="http://schemas.openxmlformats.org/officeDocument/2006/relationships/hyperlink" Target="https://www.copyright.com/openurl.do?&amp;issn=0732-8435&amp;WT.mc.id=New%20York%20State%20Society%20of%20Certified%20Public%20Accountants" TargetMode="External"/><Relationship Id="rId17" Type="http://schemas.openxmlformats.org/officeDocument/2006/relationships/hyperlink" Target="https://pewrsr.ch/3iE0cBV/" TargetMode="External"/><Relationship Id="rId2" Type="http://schemas.microsoft.com/office/2007/relationships/stylesWithEffects" Target="stylesWithEffects.xml"/><Relationship Id="rId16" Type="http://schemas.openxmlformats.org/officeDocument/2006/relationships/image" Target="media/image1.jpeg"/><Relationship Id="rId20" Type="http://schemas.openxmlformats.org/officeDocument/2006/relationships/hyperlink" Target="https://www.cpajournal.com/tag/higher-education/" TargetMode="External"/><Relationship Id="rId1" Type="http://schemas.openxmlformats.org/officeDocument/2006/relationships/styles" Target="styles.xml"/><Relationship Id="rId6" Type="http://schemas.openxmlformats.org/officeDocument/2006/relationships/hyperlink" Target="https://www.cpajournal.com/author/paul-copley/" TargetMode="External"/><Relationship Id="rId11" Type="http://schemas.openxmlformats.org/officeDocument/2006/relationships/hyperlink" Target="https://www.cpajournal.com/category/analysis/" TargetMode="External"/><Relationship Id="rId5" Type="http://schemas.openxmlformats.org/officeDocument/2006/relationships/hyperlink" Target="https://www.cpajournal.com/2020/11/13/icymi-the-enrollment-cliff-mega-universities-covid-19-and-the-changing-landscape-of-u-s-colleges/" TargetMode="External"/><Relationship Id="rId15" Type="http://schemas.openxmlformats.org/officeDocument/2006/relationships/hyperlink" Target="https://www.nysscpa.org/news/publications/the-cpa-journal/article-detail?ArticleID=13626" TargetMode="External"/><Relationship Id="rId23" Type="http://schemas.openxmlformats.org/officeDocument/2006/relationships/theme" Target="theme/theme1.xml"/><Relationship Id="rId10" Type="http://schemas.openxmlformats.org/officeDocument/2006/relationships/hyperlink" Target="https://www.cpajournal.com/category/magazine/september-2020-issue/" TargetMode="External"/><Relationship Id="rId19" Type="http://schemas.openxmlformats.org/officeDocument/2006/relationships/hyperlink" Target="https://bit.ly/3gYY5rY" TargetMode="External"/><Relationship Id="rId4" Type="http://schemas.openxmlformats.org/officeDocument/2006/relationships/webSettings" Target="webSettings.xml"/><Relationship Id="rId9" Type="http://schemas.openxmlformats.org/officeDocument/2006/relationships/hyperlink" Target="https://www.cpajournal.com/category/covid-19/" TargetMode="External"/><Relationship Id="rId14" Type="http://schemas.openxmlformats.org/officeDocument/2006/relationships/hyperlink" Target="https://bit.ly/3fT3Rd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3153</Words>
  <Characters>17975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4</cp:revision>
  <cp:lastPrinted>2021-08-23T14:24:00Z</cp:lastPrinted>
  <dcterms:created xsi:type="dcterms:W3CDTF">2021-08-23T14:23:00Z</dcterms:created>
  <dcterms:modified xsi:type="dcterms:W3CDTF">2021-08-23T14:25:00Z</dcterms:modified>
</cp:coreProperties>
</file>